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BD4" w:rsidRDefault="00A20B8F" w:rsidP="009B3D43">
      <w:pPr>
        <w:jc w:val="both"/>
        <w:rPr>
          <w:b/>
        </w:rPr>
      </w:pPr>
      <w:r>
        <w:rPr>
          <w:b/>
        </w:rPr>
        <w:t xml:space="preserve">Appendix </w:t>
      </w:r>
      <w:r w:rsidR="00133F8F">
        <w:rPr>
          <w:b/>
        </w:rPr>
        <w:t>'</w:t>
      </w:r>
      <w:r>
        <w:rPr>
          <w:b/>
        </w:rPr>
        <w:t>A</w:t>
      </w:r>
      <w:r w:rsidR="00133F8F">
        <w:rPr>
          <w:b/>
        </w:rPr>
        <w:t>'</w:t>
      </w:r>
    </w:p>
    <w:p w:rsidR="00A20B8F" w:rsidRDefault="00A20B8F" w:rsidP="009B3D43">
      <w:pPr>
        <w:pBdr>
          <w:bottom w:val="single" w:sz="12" w:space="1" w:color="auto"/>
        </w:pBdr>
        <w:jc w:val="both"/>
        <w:rPr>
          <w:b/>
          <w:sz w:val="28"/>
          <w:szCs w:val="28"/>
        </w:rPr>
      </w:pPr>
      <w:r>
        <w:rPr>
          <w:b/>
          <w:sz w:val="28"/>
          <w:szCs w:val="28"/>
        </w:rPr>
        <w:t xml:space="preserve">Money Matters </w:t>
      </w:r>
      <w:r w:rsidR="00E94B3A">
        <w:rPr>
          <w:b/>
          <w:sz w:val="28"/>
          <w:szCs w:val="28"/>
        </w:rPr>
        <w:t>-</w:t>
      </w:r>
      <w:r>
        <w:rPr>
          <w:b/>
          <w:sz w:val="28"/>
          <w:szCs w:val="28"/>
        </w:rPr>
        <w:t xml:space="preserve"> Update on the County Council's Financial Position </w:t>
      </w:r>
      <w:r w:rsidR="00154393">
        <w:rPr>
          <w:b/>
          <w:sz w:val="28"/>
          <w:szCs w:val="28"/>
        </w:rPr>
        <w:t>for 2013/14</w:t>
      </w:r>
    </w:p>
    <w:p w:rsidR="00A20B8F" w:rsidRPr="00133F8F" w:rsidRDefault="00A20B8F" w:rsidP="009B3D43">
      <w:pPr>
        <w:pStyle w:val="ListParagraph"/>
        <w:numPr>
          <w:ilvl w:val="0"/>
          <w:numId w:val="32"/>
        </w:numPr>
        <w:ind w:left="0" w:hanging="567"/>
        <w:jc w:val="both"/>
        <w:rPr>
          <w:b/>
          <w:szCs w:val="24"/>
        </w:rPr>
      </w:pPr>
      <w:r w:rsidRPr="00133F8F">
        <w:rPr>
          <w:b/>
          <w:szCs w:val="24"/>
        </w:rPr>
        <w:t>Introduction</w:t>
      </w:r>
    </w:p>
    <w:p w:rsidR="00A20B8F" w:rsidRDefault="00A20B8F" w:rsidP="009B3D43">
      <w:pPr>
        <w:jc w:val="both"/>
        <w:rPr>
          <w:szCs w:val="24"/>
        </w:rPr>
      </w:pPr>
      <w:r>
        <w:rPr>
          <w:szCs w:val="24"/>
        </w:rPr>
        <w:t xml:space="preserve">This report provides an update </w:t>
      </w:r>
      <w:r w:rsidR="0059059A">
        <w:rPr>
          <w:szCs w:val="24"/>
        </w:rPr>
        <w:t xml:space="preserve">for </w:t>
      </w:r>
      <w:r w:rsidR="008C2E44">
        <w:rPr>
          <w:szCs w:val="24"/>
        </w:rPr>
        <w:t xml:space="preserve">Cabinet </w:t>
      </w:r>
      <w:r w:rsidR="0059059A">
        <w:rPr>
          <w:szCs w:val="24"/>
        </w:rPr>
        <w:t>on the County Counc</w:t>
      </w:r>
      <w:r w:rsidR="008E60E9">
        <w:rPr>
          <w:szCs w:val="24"/>
        </w:rPr>
        <w:t>il's current financial position</w:t>
      </w:r>
      <w:r w:rsidR="0059059A">
        <w:rPr>
          <w:szCs w:val="24"/>
        </w:rPr>
        <w:t>.</w:t>
      </w:r>
      <w:r w:rsidR="008E60E9">
        <w:rPr>
          <w:szCs w:val="24"/>
        </w:rPr>
        <w:t xml:space="preserve"> The report is in</w:t>
      </w:r>
      <w:r w:rsidR="00253352">
        <w:rPr>
          <w:szCs w:val="24"/>
        </w:rPr>
        <w:t xml:space="preserve"> </w:t>
      </w:r>
      <w:r w:rsidR="00E94B3A">
        <w:rPr>
          <w:szCs w:val="24"/>
        </w:rPr>
        <w:t>four</w:t>
      </w:r>
      <w:r w:rsidR="00351A49">
        <w:rPr>
          <w:szCs w:val="24"/>
        </w:rPr>
        <w:t xml:space="preserve"> parts:</w:t>
      </w:r>
    </w:p>
    <w:p w:rsidR="00351A49" w:rsidRDefault="00133F8F" w:rsidP="009B3D43">
      <w:pPr>
        <w:jc w:val="both"/>
        <w:rPr>
          <w:szCs w:val="24"/>
        </w:rPr>
      </w:pPr>
      <w:r>
        <w:rPr>
          <w:szCs w:val="24"/>
        </w:rPr>
        <w:t>Section A</w:t>
      </w:r>
      <w:r w:rsidR="00351A49">
        <w:rPr>
          <w:szCs w:val="24"/>
        </w:rPr>
        <w:t xml:space="preserve"> – </w:t>
      </w:r>
      <w:r w:rsidR="004F4AAB">
        <w:rPr>
          <w:szCs w:val="24"/>
        </w:rPr>
        <w:t xml:space="preserve">Sets out </w:t>
      </w:r>
      <w:r w:rsidR="00351A49">
        <w:rPr>
          <w:szCs w:val="24"/>
        </w:rPr>
        <w:t>the forecast</w:t>
      </w:r>
      <w:r w:rsidR="0067193F">
        <w:rPr>
          <w:szCs w:val="24"/>
        </w:rPr>
        <w:t xml:space="preserve"> </w:t>
      </w:r>
      <w:r w:rsidR="0090486C">
        <w:rPr>
          <w:szCs w:val="24"/>
        </w:rPr>
        <w:t xml:space="preserve">end of year position </w:t>
      </w:r>
      <w:r w:rsidR="00351A49">
        <w:rPr>
          <w:szCs w:val="24"/>
        </w:rPr>
        <w:t xml:space="preserve">for the </w:t>
      </w:r>
      <w:r w:rsidR="0012112C">
        <w:rPr>
          <w:szCs w:val="24"/>
        </w:rPr>
        <w:t>201</w:t>
      </w:r>
      <w:r w:rsidR="00154393">
        <w:rPr>
          <w:szCs w:val="24"/>
        </w:rPr>
        <w:t>3</w:t>
      </w:r>
      <w:r w:rsidR="0012112C">
        <w:rPr>
          <w:szCs w:val="24"/>
        </w:rPr>
        <w:t>/1</w:t>
      </w:r>
      <w:r w:rsidR="00154393">
        <w:rPr>
          <w:szCs w:val="24"/>
        </w:rPr>
        <w:t>4</w:t>
      </w:r>
      <w:r w:rsidR="0012112C">
        <w:rPr>
          <w:szCs w:val="24"/>
        </w:rPr>
        <w:t xml:space="preserve"> </w:t>
      </w:r>
      <w:r w:rsidR="00351A49">
        <w:rPr>
          <w:szCs w:val="24"/>
        </w:rPr>
        <w:t>revenue budget</w:t>
      </w:r>
      <w:r w:rsidR="00E94B3A">
        <w:rPr>
          <w:szCs w:val="24"/>
        </w:rPr>
        <w:t>.</w:t>
      </w:r>
    </w:p>
    <w:p w:rsidR="00351A49" w:rsidRDefault="00133F8F" w:rsidP="009B3D43">
      <w:pPr>
        <w:jc w:val="both"/>
        <w:rPr>
          <w:szCs w:val="24"/>
        </w:rPr>
      </w:pPr>
      <w:r>
        <w:rPr>
          <w:szCs w:val="24"/>
        </w:rPr>
        <w:t xml:space="preserve">Section B </w:t>
      </w:r>
      <w:r w:rsidR="00351A49">
        <w:rPr>
          <w:szCs w:val="24"/>
        </w:rPr>
        <w:t xml:space="preserve">– </w:t>
      </w:r>
      <w:r w:rsidR="004F4AAB">
        <w:rPr>
          <w:szCs w:val="24"/>
        </w:rPr>
        <w:t>Sets out</w:t>
      </w:r>
      <w:r w:rsidR="00351A49">
        <w:rPr>
          <w:szCs w:val="24"/>
        </w:rPr>
        <w:t xml:space="preserve"> pro</w:t>
      </w:r>
      <w:r w:rsidR="003C66D1">
        <w:rPr>
          <w:szCs w:val="24"/>
        </w:rPr>
        <w:t xml:space="preserve">gress on the Capital Investment </w:t>
      </w:r>
      <w:r w:rsidR="00351A49">
        <w:rPr>
          <w:szCs w:val="24"/>
        </w:rPr>
        <w:t>Programme</w:t>
      </w:r>
      <w:r w:rsidR="00E94B3A">
        <w:rPr>
          <w:szCs w:val="24"/>
        </w:rPr>
        <w:t>.</w:t>
      </w:r>
    </w:p>
    <w:p w:rsidR="00351A49" w:rsidRDefault="00133F8F" w:rsidP="009B3D43">
      <w:pPr>
        <w:jc w:val="both"/>
        <w:rPr>
          <w:szCs w:val="24"/>
        </w:rPr>
      </w:pPr>
      <w:r>
        <w:rPr>
          <w:szCs w:val="24"/>
        </w:rPr>
        <w:t xml:space="preserve">Section C </w:t>
      </w:r>
      <w:r w:rsidR="00351A49">
        <w:rPr>
          <w:szCs w:val="24"/>
        </w:rPr>
        <w:t xml:space="preserve">– </w:t>
      </w:r>
      <w:r w:rsidR="004F4AAB">
        <w:rPr>
          <w:szCs w:val="24"/>
        </w:rPr>
        <w:t>Sets</w:t>
      </w:r>
      <w:r w:rsidR="00351A49">
        <w:rPr>
          <w:szCs w:val="24"/>
        </w:rPr>
        <w:t xml:space="preserve"> </w:t>
      </w:r>
      <w:r w:rsidR="0090486C">
        <w:rPr>
          <w:szCs w:val="24"/>
        </w:rPr>
        <w:t xml:space="preserve">out </w:t>
      </w:r>
      <w:r w:rsidR="00351A49">
        <w:rPr>
          <w:szCs w:val="24"/>
        </w:rPr>
        <w:t>the impact of the current</w:t>
      </w:r>
      <w:r w:rsidR="0090486C">
        <w:rPr>
          <w:szCs w:val="24"/>
        </w:rPr>
        <w:t xml:space="preserve"> monitoring position</w:t>
      </w:r>
      <w:r w:rsidR="00351A49">
        <w:rPr>
          <w:szCs w:val="24"/>
        </w:rPr>
        <w:t xml:space="preserve"> on the County Council's </w:t>
      </w:r>
      <w:r w:rsidR="005664D7">
        <w:rPr>
          <w:szCs w:val="24"/>
        </w:rPr>
        <w:t>reserves</w:t>
      </w:r>
      <w:r w:rsidR="00E94B3A">
        <w:rPr>
          <w:szCs w:val="24"/>
        </w:rPr>
        <w:t>.</w:t>
      </w:r>
    </w:p>
    <w:p w:rsidR="00ED7BC1" w:rsidRPr="0042169D" w:rsidRDefault="001B0238" w:rsidP="009B3D43">
      <w:pPr>
        <w:jc w:val="both"/>
        <w:rPr>
          <w:szCs w:val="24"/>
        </w:rPr>
      </w:pPr>
      <w:r w:rsidRPr="0042169D">
        <w:rPr>
          <w:szCs w:val="24"/>
        </w:rPr>
        <w:t>Section D – Sets out the conclusion</w:t>
      </w:r>
      <w:r w:rsidR="00E94B3A">
        <w:rPr>
          <w:szCs w:val="24"/>
        </w:rPr>
        <w:t>.</w:t>
      </w:r>
    </w:p>
    <w:p w:rsidR="00351A49" w:rsidRPr="00102BA5" w:rsidRDefault="00351A49" w:rsidP="009B3D43">
      <w:pPr>
        <w:pStyle w:val="ListParagraph"/>
        <w:numPr>
          <w:ilvl w:val="0"/>
          <w:numId w:val="32"/>
        </w:numPr>
        <w:ind w:left="0" w:hanging="567"/>
        <w:jc w:val="both"/>
        <w:rPr>
          <w:b/>
          <w:szCs w:val="24"/>
        </w:rPr>
      </w:pPr>
      <w:r w:rsidRPr="00102BA5">
        <w:rPr>
          <w:b/>
          <w:szCs w:val="24"/>
        </w:rPr>
        <w:t xml:space="preserve">Summary </w:t>
      </w:r>
      <w:r w:rsidR="00133F8F" w:rsidRPr="00102BA5">
        <w:rPr>
          <w:b/>
          <w:szCs w:val="24"/>
        </w:rPr>
        <w:t xml:space="preserve">of the Financial </w:t>
      </w:r>
      <w:r w:rsidRPr="00102BA5">
        <w:rPr>
          <w:b/>
          <w:szCs w:val="24"/>
        </w:rPr>
        <w:t>Position</w:t>
      </w:r>
    </w:p>
    <w:p w:rsidR="00351A49" w:rsidRPr="00102BA5" w:rsidRDefault="006236CE" w:rsidP="003C66D1">
      <w:pPr>
        <w:jc w:val="both"/>
        <w:rPr>
          <w:szCs w:val="24"/>
        </w:rPr>
      </w:pPr>
      <w:r w:rsidRPr="00102BA5">
        <w:rPr>
          <w:szCs w:val="24"/>
        </w:rPr>
        <w:t xml:space="preserve">This report </w:t>
      </w:r>
      <w:r w:rsidR="004F4AAB" w:rsidRPr="00102BA5">
        <w:rPr>
          <w:szCs w:val="24"/>
        </w:rPr>
        <w:t xml:space="preserve">provides Cabinet with a view on </w:t>
      </w:r>
      <w:r w:rsidR="003B522D" w:rsidRPr="00102BA5">
        <w:rPr>
          <w:szCs w:val="24"/>
        </w:rPr>
        <w:t xml:space="preserve">the Council's </w:t>
      </w:r>
      <w:r w:rsidRPr="00102BA5">
        <w:rPr>
          <w:szCs w:val="24"/>
        </w:rPr>
        <w:t xml:space="preserve">current </w:t>
      </w:r>
      <w:r w:rsidR="004F4AAB" w:rsidRPr="00102BA5">
        <w:rPr>
          <w:szCs w:val="24"/>
        </w:rPr>
        <w:t>financial performance</w:t>
      </w:r>
      <w:r w:rsidR="008E60E9" w:rsidRPr="00102BA5">
        <w:rPr>
          <w:szCs w:val="24"/>
        </w:rPr>
        <w:t xml:space="preserve"> and the anticipated position at </w:t>
      </w:r>
      <w:r w:rsidR="003B522D" w:rsidRPr="00102BA5">
        <w:rPr>
          <w:szCs w:val="24"/>
        </w:rPr>
        <w:t xml:space="preserve">the </w:t>
      </w:r>
      <w:r w:rsidR="008E60E9" w:rsidRPr="00102BA5">
        <w:rPr>
          <w:szCs w:val="24"/>
        </w:rPr>
        <w:t>year end</w:t>
      </w:r>
      <w:r w:rsidR="004F4AAB" w:rsidRPr="00102BA5">
        <w:rPr>
          <w:szCs w:val="24"/>
        </w:rPr>
        <w:t>.</w:t>
      </w:r>
      <w:r w:rsidRPr="00102BA5">
        <w:rPr>
          <w:szCs w:val="24"/>
        </w:rPr>
        <w:t xml:space="preserve"> T</w:t>
      </w:r>
      <w:r w:rsidR="00351A49" w:rsidRPr="00102BA5">
        <w:rPr>
          <w:szCs w:val="24"/>
        </w:rPr>
        <w:t xml:space="preserve">he </w:t>
      </w:r>
      <w:r w:rsidR="00635003" w:rsidRPr="00102BA5">
        <w:rPr>
          <w:szCs w:val="24"/>
        </w:rPr>
        <w:t>forecast</w:t>
      </w:r>
      <w:r w:rsidR="00351A49" w:rsidRPr="00102BA5">
        <w:rPr>
          <w:szCs w:val="24"/>
        </w:rPr>
        <w:t xml:space="preserve"> </w:t>
      </w:r>
      <w:r w:rsidRPr="00102BA5">
        <w:rPr>
          <w:szCs w:val="24"/>
        </w:rPr>
        <w:t xml:space="preserve">is </w:t>
      </w:r>
      <w:r w:rsidR="00351A49" w:rsidRPr="00102BA5">
        <w:rPr>
          <w:szCs w:val="24"/>
        </w:rPr>
        <w:t>bas</w:t>
      </w:r>
      <w:r w:rsidR="00C96007" w:rsidRPr="00102BA5">
        <w:rPr>
          <w:szCs w:val="24"/>
        </w:rPr>
        <w:t>ed on information to the end of December</w:t>
      </w:r>
      <w:r w:rsidR="00154393" w:rsidRPr="00102BA5">
        <w:rPr>
          <w:szCs w:val="24"/>
        </w:rPr>
        <w:t xml:space="preserve"> 2013</w:t>
      </w:r>
      <w:r w:rsidR="00351A49" w:rsidRPr="00102BA5">
        <w:rPr>
          <w:szCs w:val="24"/>
        </w:rPr>
        <w:t xml:space="preserve"> </w:t>
      </w:r>
      <w:r w:rsidRPr="00102BA5">
        <w:rPr>
          <w:szCs w:val="24"/>
        </w:rPr>
        <w:t xml:space="preserve">and </w:t>
      </w:r>
      <w:r w:rsidR="00351A49" w:rsidRPr="00102BA5">
        <w:rPr>
          <w:szCs w:val="24"/>
        </w:rPr>
        <w:t>shows</w:t>
      </w:r>
      <w:r w:rsidRPr="00102BA5">
        <w:rPr>
          <w:szCs w:val="24"/>
        </w:rPr>
        <w:t xml:space="preserve"> in summary</w:t>
      </w:r>
      <w:r w:rsidR="00351A49" w:rsidRPr="00102BA5">
        <w:rPr>
          <w:szCs w:val="24"/>
        </w:rPr>
        <w:t>:</w:t>
      </w:r>
    </w:p>
    <w:p w:rsidR="00351A49" w:rsidRPr="008D1289" w:rsidRDefault="00351A49" w:rsidP="003C66D1">
      <w:pPr>
        <w:jc w:val="both"/>
        <w:rPr>
          <w:i/>
          <w:szCs w:val="24"/>
        </w:rPr>
      </w:pPr>
      <w:r w:rsidRPr="008D1289">
        <w:rPr>
          <w:i/>
          <w:szCs w:val="24"/>
        </w:rPr>
        <w:t>For the Revenue Budget</w:t>
      </w:r>
    </w:p>
    <w:p w:rsidR="00213505" w:rsidRPr="00AD6B3D" w:rsidRDefault="003752D0" w:rsidP="00AD6B3D">
      <w:pPr>
        <w:pStyle w:val="ListParagraph"/>
        <w:numPr>
          <w:ilvl w:val="0"/>
          <w:numId w:val="1"/>
        </w:numPr>
        <w:autoSpaceDE w:val="0"/>
        <w:autoSpaceDN w:val="0"/>
        <w:adjustRightInd w:val="0"/>
        <w:spacing w:line="240" w:lineRule="auto"/>
        <w:jc w:val="both"/>
        <w:rPr>
          <w:rFonts w:ascii="TT7DA53o00" w:hAnsi="TT7DA53o00" w:cs="TT7DA53o00"/>
          <w:szCs w:val="24"/>
        </w:rPr>
      </w:pPr>
      <w:r w:rsidRPr="008D1289">
        <w:rPr>
          <w:rFonts w:ascii="TT7DA53o00" w:hAnsi="TT7DA53o00" w:cs="TT7DA53o00"/>
          <w:szCs w:val="24"/>
        </w:rPr>
        <w:t xml:space="preserve">A </w:t>
      </w:r>
      <w:r w:rsidR="00117841">
        <w:rPr>
          <w:rFonts w:ascii="TT7DA53o00" w:hAnsi="TT7DA53o00" w:cs="TT7DA53o00"/>
          <w:szCs w:val="24"/>
        </w:rPr>
        <w:t>forecast</w:t>
      </w:r>
      <w:r w:rsidRPr="008D1289">
        <w:rPr>
          <w:rFonts w:ascii="TT7DA53o00" w:hAnsi="TT7DA53o00" w:cs="TT7DA53o00"/>
          <w:szCs w:val="24"/>
        </w:rPr>
        <w:t xml:space="preserve"> overspend on </w:t>
      </w:r>
      <w:r w:rsidR="006236CE" w:rsidRPr="008D1289">
        <w:rPr>
          <w:rFonts w:ascii="TT7DA53o00" w:hAnsi="TT7DA53o00" w:cs="TT7DA53o00"/>
          <w:szCs w:val="24"/>
        </w:rPr>
        <w:t xml:space="preserve">the revenue </w:t>
      </w:r>
      <w:r w:rsidR="006236CE" w:rsidRPr="004739B5">
        <w:rPr>
          <w:rFonts w:ascii="TT7DA53o00" w:hAnsi="TT7DA53o00" w:cs="TT7DA53o00"/>
          <w:szCs w:val="24"/>
        </w:rPr>
        <w:t xml:space="preserve">budget </w:t>
      </w:r>
      <w:r w:rsidRPr="004739B5">
        <w:rPr>
          <w:rFonts w:ascii="TT7DA53o00" w:hAnsi="TT7DA53o00" w:cs="TT7DA53o00"/>
          <w:szCs w:val="24"/>
        </w:rPr>
        <w:t>of £</w:t>
      </w:r>
      <w:r w:rsidR="004739B5" w:rsidRPr="004739B5">
        <w:rPr>
          <w:rFonts w:ascii="TT7DA53o00" w:hAnsi="TT7DA53o00" w:cs="TT7DA53o00"/>
          <w:szCs w:val="24"/>
        </w:rPr>
        <w:t>2.4</w:t>
      </w:r>
      <w:r w:rsidRPr="004739B5">
        <w:rPr>
          <w:rFonts w:ascii="TT7DA53o00" w:hAnsi="TT7DA53o00" w:cs="TT7DA53o00"/>
          <w:szCs w:val="24"/>
        </w:rPr>
        <w:t>m</w:t>
      </w:r>
      <w:r w:rsidR="00F678A7" w:rsidRPr="004739B5">
        <w:rPr>
          <w:rFonts w:ascii="TT7DA53o00" w:hAnsi="TT7DA53o00" w:cs="TT7DA53o00"/>
          <w:szCs w:val="24"/>
        </w:rPr>
        <w:t xml:space="preserve"> representing an overall</w:t>
      </w:r>
      <w:r w:rsidR="003C66D1" w:rsidRPr="004739B5">
        <w:rPr>
          <w:rFonts w:ascii="TT7DA53o00" w:hAnsi="TT7DA53o00" w:cs="TT7DA53o00"/>
          <w:szCs w:val="24"/>
        </w:rPr>
        <w:t xml:space="preserve"> improvement in position </w:t>
      </w:r>
      <w:r w:rsidR="00D46307" w:rsidRPr="004739B5">
        <w:rPr>
          <w:rFonts w:ascii="TT7DA53o00" w:hAnsi="TT7DA53o00" w:cs="TT7DA53o00"/>
          <w:szCs w:val="24"/>
        </w:rPr>
        <w:t>of £</w:t>
      </w:r>
      <w:r w:rsidR="004739B5" w:rsidRPr="004739B5">
        <w:rPr>
          <w:rFonts w:ascii="TT7DA53o00" w:hAnsi="TT7DA53o00" w:cs="TT7DA53o00"/>
          <w:szCs w:val="24"/>
        </w:rPr>
        <w:t>1.9</w:t>
      </w:r>
      <w:r w:rsidR="00F678A7" w:rsidRPr="004739B5">
        <w:rPr>
          <w:rFonts w:ascii="TT7DA53o00" w:hAnsi="TT7DA53o00" w:cs="TT7DA53o00"/>
          <w:szCs w:val="24"/>
        </w:rPr>
        <w:t>m since the last</w:t>
      </w:r>
      <w:r w:rsidR="00F678A7" w:rsidRPr="008D1289">
        <w:rPr>
          <w:rFonts w:ascii="TT7DA53o00" w:hAnsi="TT7DA53o00" w:cs="TT7DA53o00"/>
          <w:szCs w:val="24"/>
        </w:rPr>
        <w:t xml:space="preserve"> report to </w:t>
      </w:r>
      <w:r w:rsidR="003C66D1" w:rsidRPr="008D1289">
        <w:rPr>
          <w:rFonts w:ascii="TT7DA53o00" w:hAnsi="TT7DA53o00" w:cs="TT7DA53o00"/>
          <w:szCs w:val="24"/>
        </w:rPr>
        <w:t>C</w:t>
      </w:r>
      <w:r w:rsidR="00F678A7" w:rsidRPr="008D1289">
        <w:rPr>
          <w:rFonts w:ascii="TT7DA53o00" w:hAnsi="TT7DA53o00" w:cs="TT7DA53o00"/>
          <w:szCs w:val="24"/>
        </w:rPr>
        <w:t>abinet</w:t>
      </w:r>
      <w:r w:rsidR="00117841">
        <w:rPr>
          <w:rFonts w:ascii="TT7DA53o00" w:hAnsi="TT7DA53o00" w:cs="TT7DA53o00"/>
          <w:szCs w:val="24"/>
        </w:rPr>
        <w:t>. T</w:t>
      </w:r>
      <w:r w:rsidR="00213505">
        <w:rPr>
          <w:rFonts w:ascii="TT7DA53o00" w:hAnsi="TT7DA53o00" w:cs="TT7DA53o00"/>
          <w:szCs w:val="24"/>
        </w:rPr>
        <w:t xml:space="preserve">his is offset by </w:t>
      </w:r>
      <w:r w:rsidR="00A3289E" w:rsidRPr="00AD6B3D">
        <w:rPr>
          <w:rFonts w:ascii="TT7DA53o00" w:hAnsi="TT7DA53o00" w:cs="TT7DA53o00"/>
          <w:szCs w:val="24"/>
        </w:rPr>
        <w:t>the availability of additional one-off resources from the government in 2013/14 of £5.8m</w:t>
      </w:r>
      <w:r w:rsidR="00213505" w:rsidRPr="00AD6B3D">
        <w:rPr>
          <w:rFonts w:ascii="TT7DA53o00" w:hAnsi="TT7DA53o00" w:cs="TT7DA53o00"/>
          <w:szCs w:val="24"/>
        </w:rPr>
        <w:t>, giving a net position of an underspend of £3.4m</w:t>
      </w:r>
      <w:r w:rsidR="00A3289E" w:rsidRPr="00AD6B3D">
        <w:rPr>
          <w:rFonts w:ascii="TT7DA53o00" w:hAnsi="TT7DA53o00" w:cs="TT7DA53o00"/>
          <w:szCs w:val="24"/>
        </w:rPr>
        <w:t>.</w:t>
      </w:r>
      <w:r w:rsidR="00213505" w:rsidRPr="00AD6B3D">
        <w:rPr>
          <w:rFonts w:ascii="TT7DA53o00" w:hAnsi="TT7DA53o00" w:cs="TT7DA53o00"/>
          <w:szCs w:val="24"/>
        </w:rPr>
        <w:t xml:space="preserve"> In accordance with Cabinet's previous decisions, </w:t>
      </w:r>
      <w:r w:rsidR="009E28ED">
        <w:rPr>
          <w:rFonts w:ascii="TT7DA53o00" w:hAnsi="TT7DA53o00" w:cs="TT7DA53o00"/>
          <w:szCs w:val="24"/>
        </w:rPr>
        <w:t xml:space="preserve">£0.7m of this will be transferred to the Council's Hardship Claims reserve with the balance of £2.7m </w:t>
      </w:r>
      <w:r w:rsidR="00213505" w:rsidRPr="00AD6B3D">
        <w:rPr>
          <w:rFonts w:ascii="TT7DA53o00" w:hAnsi="TT7DA53o00" w:cs="TT7DA53o00"/>
          <w:szCs w:val="24"/>
        </w:rPr>
        <w:t>added to the downsizing reserve.</w:t>
      </w:r>
    </w:p>
    <w:p w:rsidR="00A3289E" w:rsidRPr="004739B5" w:rsidRDefault="00213505" w:rsidP="004739B5">
      <w:pPr>
        <w:pStyle w:val="ListParagraph"/>
        <w:numPr>
          <w:ilvl w:val="0"/>
          <w:numId w:val="1"/>
        </w:numPr>
        <w:autoSpaceDE w:val="0"/>
        <w:autoSpaceDN w:val="0"/>
        <w:adjustRightInd w:val="0"/>
        <w:spacing w:line="240" w:lineRule="auto"/>
        <w:jc w:val="both"/>
        <w:rPr>
          <w:rFonts w:ascii="TT7DA53o00" w:hAnsi="TT7DA53o00" w:cs="TT7DA53o00"/>
          <w:szCs w:val="24"/>
        </w:rPr>
      </w:pPr>
      <w:r>
        <w:rPr>
          <w:rFonts w:ascii="TT7DA53o00" w:hAnsi="TT7DA53o00" w:cs="TT7DA53o00"/>
          <w:szCs w:val="24"/>
        </w:rPr>
        <w:t>It is anticipated that a range of small underspends within services will emerge over the final quarter of 2013/14, and it is therefore anticipated that the final position for the year will be improved.</w:t>
      </w:r>
      <w:r w:rsidR="00A3289E">
        <w:rPr>
          <w:rFonts w:ascii="TT7DA53o00" w:hAnsi="TT7DA53o00" w:cs="TT7DA53o00"/>
          <w:szCs w:val="24"/>
        </w:rPr>
        <w:t xml:space="preserve"> </w:t>
      </w:r>
    </w:p>
    <w:p w:rsidR="00311FCD" w:rsidRPr="004739B5" w:rsidRDefault="00311FCD" w:rsidP="003C66D1">
      <w:pPr>
        <w:jc w:val="both"/>
        <w:rPr>
          <w:szCs w:val="24"/>
        </w:rPr>
      </w:pPr>
      <w:r w:rsidRPr="004739B5">
        <w:rPr>
          <w:i/>
          <w:szCs w:val="24"/>
        </w:rPr>
        <w:t xml:space="preserve">For the Capital </w:t>
      </w:r>
      <w:r w:rsidR="004F4AAB" w:rsidRPr="004739B5">
        <w:rPr>
          <w:i/>
          <w:szCs w:val="24"/>
        </w:rPr>
        <w:t xml:space="preserve">Investment </w:t>
      </w:r>
      <w:r w:rsidRPr="004739B5">
        <w:rPr>
          <w:i/>
          <w:szCs w:val="24"/>
        </w:rPr>
        <w:t>Programme</w:t>
      </w:r>
    </w:p>
    <w:p w:rsidR="002B1803" w:rsidRPr="004739B5" w:rsidRDefault="002B1803" w:rsidP="003C66D1">
      <w:pPr>
        <w:pStyle w:val="ListParagraph"/>
        <w:numPr>
          <w:ilvl w:val="0"/>
          <w:numId w:val="2"/>
        </w:numPr>
        <w:jc w:val="both"/>
        <w:rPr>
          <w:szCs w:val="24"/>
        </w:rPr>
      </w:pPr>
      <w:r w:rsidRPr="004739B5">
        <w:rPr>
          <w:szCs w:val="24"/>
        </w:rPr>
        <w:t xml:space="preserve">Forecast capital spending in year </w:t>
      </w:r>
      <w:r w:rsidR="005821A3" w:rsidRPr="004739B5">
        <w:rPr>
          <w:szCs w:val="24"/>
        </w:rPr>
        <w:t>of £1</w:t>
      </w:r>
      <w:r w:rsidR="004739B5" w:rsidRPr="004739B5">
        <w:rPr>
          <w:szCs w:val="24"/>
        </w:rPr>
        <w:t>6</w:t>
      </w:r>
      <w:r w:rsidR="00400D34">
        <w:rPr>
          <w:szCs w:val="24"/>
        </w:rPr>
        <w:t>5.3</w:t>
      </w:r>
      <w:r w:rsidRPr="004739B5">
        <w:rPr>
          <w:szCs w:val="24"/>
        </w:rPr>
        <w:t xml:space="preserve">m which is </w:t>
      </w:r>
      <w:r w:rsidR="004739B5" w:rsidRPr="004739B5">
        <w:rPr>
          <w:szCs w:val="24"/>
        </w:rPr>
        <w:t>81</w:t>
      </w:r>
      <w:r w:rsidR="00400D34">
        <w:rPr>
          <w:szCs w:val="24"/>
        </w:rPr>
        <w:t>.8</w:t>
      </w:r>
      <w:r w:rsidRPr="004739B5">
        <w:rPr>
          <w:szCs w:val="24"/>
        </w:rPr>
        <w:t>% of the programme</w:t>
      </w:r>
      <w:r w:rsidR="003C66D1" w:rsidRPr="004739B5">
        <w:rPr>
          <w:szCs w:val="24"/>
        </w:rPr>
        <w:t>.</w:t>
      </w:r>
    </w:p>
    <w:p w:rsidR="002B1803" w:rsidRPr="004739B5" w:rsidRDefault="002B1803" w:rsidP="003C66D1">
      <w:pPr>
        <w:pStyle w:val="ListParagraph"/>
        <w:numPr>
          <w:ilvl w:val="0"/>
          <w:numId w:val="2"/>
        </w:numPr>
        <w:jc w:val="both"/>
        <w:rPr>
          <w:szCs w:val="24"/>
        </w:rPr>
      </w:pPr>
      <w:r w:rsidRPr="004739B5">
        <w:rPr>
          <w:szCs w:val="24"/>
        </w:rPr>
        <w:t xml:space="preserve">Estimated slippage </w:t>
      </w:r>
      <w:r w:rsidR="00340526" w:rsidRPr="004739B5">
        <w:rPr>
          <w:szCs w:val="24"/>
        </w:rPr>
        <w:t xml:space="preserve">in </w:t>
      </w:r>
      <w:r w:rsidR="005A1981">
        <w:rPr>
          <w:szCs w:val="24"/>
        </w:rPr>
        <w:t xml:space="preserve">total </w:t>
      </w:r>
      <w:r w:rsidR="00340526" w:rsidRPr="004739B5">
        <w:rPr>
          <w:szCs w:val="24"/>
        </w:rPr>
        <w:t xml:space="preserve">to future years </w:t>
      </w:r>
      <w:r w:rsidRPr="004739B5">
        <w:rPr>
          <w:szCs w:val="24"/>
        </w:rPr>
        <w:t>of £</w:t>
      </w:r>
      <w:r w:rsidR="004739B5" w:rsidRPr="004739B5">
        <w:rPr>
          <w:szCs w:val="24"/>
        </w:rPr>
        <w:t>3</w:t>
      </w:r>
      <w:r w:rsidR="00400D34">
        <w:rPr>
          <w:szCs w:val="24"/>
        </w:rPr>
        <w:t>6.7</w:t>
      </w:r>
      <w:r w:rsidRPr="004739B5">
        <w:rPr>
          <w:szCs w:val="24"/>
        </w:rPr>
        <w:t>m</w:t>
      </w:r>
      <w:r w:rsidR="00340526" w:rsidRPr="004739B5">
        <w:rPr>
          <w:szCs w:val="24"/>
        </w:rPr>
        <w:t>.</w:t>
      </w:r>
    </w:p>
    <w:p w:rsidR="00DD22B3" w:rsidRPr="00ED7BC1" w:rsidRDefault="00DD22B3" w:rsidP="003C66D1">
      <w:pPr>
        <w:jc w:val="both"/>
        <w:rPr>
          <w:i/>
          <w:szCs w:val="24"/>
        </w:rPr>
      </w:pPr>
      <w:r w:rsidRPr="00ED7BC1">
        <w:rPr>
          <w:i/>
          <w:szCs w:val="24"/>
        </w:rPr>
        <w:t>For Reserves and Balances</w:t>
      </w:r>
    </w:p>
    <w:p w:rsidR="005A3628" w:rsidRPr="00ED7BC1" w:rsidRDefault="005A3628" w:rsidP="005A3628">
      <w:pPr>
        <w:pStyle w:val="ListParagraph"/>
        <w:numPr>
          <w:ilvl w:val="0"/>
          <w:numId w:val="3"/>
        </w:numPr>
        <w:jc w:val="both"/>
        <w:rPr>
          <w:b/>
          <w:szCs w:val="24"/>
        </w:rPr>
      </w:pPr>
      <w:r>
        <w:rPr>
          <w:szCs w:val="24"/>
        </w:rPr>
        <w:t xml:space="preserve">A forecast position </w:t>
      </w:r>
      <w:r w:rsidR="00213505">
        <w:rPr>
          <w:szCs w:val="24"/>
        </w:rPr>
        <w:t xml:space="preserve">at the end of the year </w:t>
      </w:r>
      <w:r>
        <w:rPr>
          <w:szCs w:val="24"/>
        </w:rPr>
        <w:t>of £36m on the Council's County Fund and £4</w:t>
      </w:r>
      <w:r w:rsidR="00400D34">
        <w:rPr>
          <w:szCs w:val="24"/>
        </w:rPr>
        <w:t>7.9</w:t>
      </w:r>
      <w:r>
        <w:rPr>
          <w:szCs w:val="24"/>
        </w:rPr>
        <w:t>m on the Council's Downsizing reserve.</w:t>
      </w:r>
    </w:p>
    <w:p w:rsidR="00ED7BC1" w:rsidRPr="00ED7BC1" w:rsidRDefault="00ED7BC1" w:rsidP="00ED7BC1">
      <w:pPr>
        <w:jc w:val="both"/>
        <w:rPr>
          <w:b/>
          <w:szCs w:val="24"/>
          <w:highlight w:val="yellow"/>
        </w:rPr>
      </w:pPr>
    </w:p>
    <w:p w:rsidR="00834597" w:rsidRPr="00102BA5" w:rsidRDefault="00133F8F" w:rsidP="009B3D43">
      <w:pPr>
        <w:pStyle w:val="ListParagraph"/>
        <w:numPr>
          <w:ilvl w:val="0"/>
          <w:numId w:val="32"/>
        </w:numPr>
        <w:ind w:left="0" w:hanging="567"/>
        <w:jc w:val="both"/>
        <w:rPr>
          <w:b/>
          <w:sz w:val="28"/>
          <w:szCs w:val="28"/>
        </w:rPr>
      </w:pPr>
      <w:r w:rsidRPr="00102BA5">
        <w:rPr>
          <w:b/>
          <w:sz w:val="28"/>
          <w:szCs w:val="28"/>
        </w:rPr>
        <w:lastRenderedPageBreak/>
        <w:t>Section A</w:t>
      </w:r>
      <w:r w:rsidR="00154393" w:rsidRPr="00102BA5">
        <w:rPr>
          <w:b/>
          <w:sz w:val="28"/>
          <w:szCs w:val="28"/>
        </w:rPr>
        <w:t xml:space="preserve"> - The 2013/14</w:t>
      </w:r>
      <w:r w:rsidR="007A4ACF" w:rsidRPr="00102BA5">
        <w:rPr>
          <w:b/>
          <w:sz w:val="28"/>
          <w:szCs w:val="28"/>
        </w:rPr>
        <w:t xml:space="preserve"> Revenue Budget</w:t>
      </w:r>
    </w:p>
    <w:p w:rsidR="00B151BE" w:rsidRPr="00102BA5" w:rsidRDefault="00133F8F" w:rsidP="009B3D43">
      <w:pPr>
        <w:ind w:hanging="567"/>
        <w:jc w:val="both"/>
        <w:rPr>
          <w:szCs w:val="24"/>
        </w:rPr>
      </w:pPr>
      <w:r w:rsidRPr="000738F4">
        <w:rPr>
          <w:b/>
          <w:szCs w:val="24"/>
        </w:rPr>
        <w:t>3.1</w:t>
      </w:r>
      <w:r w:rsidRPr="00102BA5">
        <w:rPr>
          <w:szCs w:val="24"/>
        </w:rPr>
        <w:t xml:space="preserve"> </w:t>
      </w:r>
      <w:r w:rsidRPr="00102BA5">
        <w:rPr>
          <w:szCs w:val="24"/>
        </w:rPr>
        <w:tab/>
      </w:r>
      <w:r w:rsidR="0041712C" w:rsidRPr="00102BA5">
        <w:rPr>
          <w:szCs w:val="24"/>
        </w:rPr>
        <w:t>In February 2013</w:t>
      </w:r>
      <w:r w:rsidR="007F55CE" w:rsidRPr="00102BA5">
        <w:rPr>
          <w:szCs w:val="24"/>
        </w:rPr>
        <w:t xml:space="preserve"> t</w:t>
      </w:r>
      <w:r w:rsidR="00B151BE" w:rsidRPr="00102BA5">
        <w:rPr>
          <w:szCs w:val="24"/>
        </w:rPr>
        <w:t xml:space="preserve">he </w:t>
      </w:r>
      <w:r w:rsidR="003C66D1" w:rsidRPr="00102BA5">
        <w:rPr>
          <w:szCs w:val="24"/>
        </w:rPr>
        <w:t xml:space="preserve">County </w:t>
      </w:r>
      <w:r w:rsidR="00B151BE" w:rsidRPr="00102BA5">
        <w:rPr>
          <w:szCs w:val="24"/>
        </w:rPr>
        <w:t>Council approved a revenue budget of £</w:t>
      </w:r>
      <w:proofErr w:type="gramStart"/>
      <w:r w:rsidR="00F374B2" w:rsidRPr="00102BA5">
        <w:rPr>
          <w:szCs w:val="24"/>
        </w:rPr>
        <w:t>776.343</w:t>
      </w:r>
      <w:r w:rsidR="00E87D83" w:rsidRPr="00102BA5">
        <w:rPr>
          <w:szCs w:val="24"/>
        </w:rPr>
        <w:t>m</w:t>
      </w:r>
      <w:r w:rsidR="00B151BE" w:rsidRPr="00102BA5">
        <w:rPr>
          <w:szCs w:val="24"/>
        </w:rPr>
        <w:t>,</w:t>
      </w:r>
      <w:proofErr w:type="gramEnd"/>
      <w:r w:rsidR="00B151BE" w:rsidRPr="00102BA5">
        <w:rPr>
          <w:szCs w:val="24"/>
        </w:rPr>
        <w:t xml:space="preserve"> </w:t>
      </w:r>
      <w:r w:rsidR="00CC341E">
        <w:rPr>
          <w:szCs w:val="24"/>
        </w:rPr>
        <w:t xml:space="preserve">the </w:t>
      </w:r>
      <w:r w:rsidR="00B022EF">
        <w:rPr>
          <w:szCs w:val="24"/>
        </w:rPr>
        <w:t xml:space="preserve">forecast position at the end of the year, based on information </w:t>
      </w:r>
      <w:r w:rsidR="00CC341E">
        <w:rPr>
          <w:szCs w:val="24"/>
        </w:rPr>
        <w:t xml:space="preserve">at 31 December 2013 is </w:t>
      </w:r>
      <w:r w:rsidR="00B022EF">
        <w:rPr>
          <w:szCs w:val="24"/>
        </w:rPr>
        <w:t>set out</w:t>
      </w:r>
      <w:r w:rsidR="00CC341E">
        <w:rPr>
          <w:szCs w:val="24"/>
        </w:rPr>
        <w:t xml:space="preserve"> below:</w:t>
      </w:r>
    </w:p>
    <w:tbl>
      <w:tblPr>
        <w:tblStyle w:val="TableGrid"/>
        <w:tblW w:w="0" w:type="auto"/>
        <w:tblLook w:val="0000" w:firstRow="0" w:lastRow="0" w:firstColumn="0" w:lastColumn="0" w:noHBand="0" w:noVBand="0"/>
      </w:tblPr>
      <w:tblGrid>
        <w:gridCol w:w="3920"/>
        <w:gridCol w:w="1363"/>
        <w:gridCol w:w="1985"/>
        <w:gridCol w:w="1056"/>
        <w:gridCol w:w="918"/>
      </w:tblGrid>
      <w:tr w:rsidR="003407E4" w:rsidRPr="00102BA5" w:rsidTr="006236CE">
        <w:trPr>
          <w:trHeight w:val="1247"/>
        </w:trPr>
        <w:tc>
          <w:tcPr>
            <w:tcW w:w="0" w:type="auto"/>
            <w:tcBorders>
              <w:bottom w:val="nil"/>
            </w:tcBorders>
            <w:shd w:val="clear" w:color="auto" w:fill="EEECE1" w:themeFill="background2"/>
          </w:tcPr>
          <w:p w:rsidR="003608CE" w:rsidRPr="00102BA5" w:rsidRDefault="003608CE" w:rsidP="009B3D43">
            <w:pPr>
              <w:pStyle w:val="Body1"/>
              <w:jc w:val="both"/>
              <w:outlineLvl w:val="9"/>
              <w:rPr>
                <w:rFonts w:cs="Arial"/>
                <w:b/>
                <w:sz w:val="22"/>
                <w:szCs w:val="22"/>
              </w:rPr>
            </w:pPr>
            <w:r w:rsidRPr="00102BA5">
              <w:rPr>
                <w:rFonts w:cs="Arial"/>
                <w:b/>
                <w:sz w:val="22"/>
                <w:szCs w:val="22"/>
              </w:rPr>
              <w:t>Budget Area</w:t>
            </w:r>
          </w:p>
        </w:tc>
        <w:tc>
          <w:tcPr>
            <w:tcW w:w="0" w:type="auto"/>
            <w:tcBorders>
              <w:bottom w:val="nil"/>
            </w:tcBorders>
            <w:shd w:val="clear" w:color="auto" w:fill="EEECE1" w:themeFill="background2"/>
          </w:tcPr>
          <w:p w:rsidR="003608CE" w:rsidRPr="00102BA5" w:rsidRDefault="00133F8F" w:rsidP="004F6DD0">
            <w:pPr>
              <w:jc w:val="center"/>
              <w:rPr>
                <w:rFonts w:cs="Arial"/>
                <w:b/>
              </w:rPr>
            </w:pPr>
            <w:r w:rsidRPr="00102BA5">
              <w:rPr>
                <w:rFonts w:cs="Arial"/>
                <w:b/>
              </w:rPr>
              <w:t>Cash Limit</w:t>
            </w:r>
          </w:p>
        </w:tc>
        <w:tc>
          <w:tcPr>
            <w:tcW w:w="0" w:type="auto"/>
            <w:tcBorders>
              <w:bottom w:val="nil"/>
            </w:tcBorders>
            <w:shd w:val="clear" w:color="auto" w:fill="EEECE1" w:themeFill="background2"/>
          </w:tcPr>
          <w:p w:rsidR="003608CE" w:rsidRPr="00102BA5" w:rsidRDefault="003608CE" w:rsidP="004F6DD0">
            <w:pPr>
              <w:pStyle w:val="Body1"/>
              <w:jc w:val="center"/>
              <w:rPr>
                <w:rFonts w:cs="Arial"/>
                <w:b/>
                <w:sz w:val="22"/>
                <w:szCs w:val="22"/>
              </w:rPr>
            </w:pPr>
            <w:r w:rsidRPr="00102BA5">
              <w:rPr>
                <w:rFonts w:cs="Arial"/>
                <w:b/>
                <w:sz w:val="22"/>
                <w:szCs w:val="22"/>
              </w:rPr>
              <w:t>Forecast</w:t>
            </w:r>
          </w:p>
          <w:p w:rsidR="003608CE" w:rsidRPr="00102BA5" w:rsidRDefault="003608CE" w:rsidP="00B022EF">
            <w:pPr>
              <w:pStyle w:val="Body1"/>
              <w:jc w:val="center"/>
              <w:rPr>
                <w:rFonts w:cs="Arial"/>
                <w:b/>
              </w:rPr>
            </w:pPr>
            <w:r w:rsidRPr="00102BA5">
              <w:rPr>
                <w:rFonts w:cs="Arial"/>
                <w:b/>
                <w:sz w:val="22"/>
                <w:szCs w:val="22"/>
              </w:rPr>
              <w:t>End of Year Position</w:t>
            </w:r>
          </w:p>
        </w:tc>
        <w:tc>
          <w:tcPr>
            <w:tcW w:w="0" w:type="auto"/>
            <w:gridSpan w:val="2"/>
            <w:tcBorders>
              <w:bottom w:val="nil"/>
            </w:tcBorders>
            <w:shd w:val="clear" w:color="auto" w:fill="EEECE1" w:themeFill="background2"/>
          </w:tcPr>
          <w:p w:rsidR="003608CE" w:rsidRPr="00102BA5" w:rsidRDefault="003608CE" w:rsidP="004F6DD0">
            <w:pPr>
              <w:pStyle w:val="Body1"/>
              <w:tabs>
                <w:tab w:val="center" w:pos="625"/>
              </w:tabs>
              <w:jc w:val="center"/>
              <w:rPr>
                <w:rFonts w:cs="Arial"/>
                <w:b/>
                <w:sz w:val="22"/>
                <w:szCs w:val="22"/>
              </w:rPr>
            </w:pPr>
            <w:r w:rsidRPr="00102BA5">
              <w:rPr>
                <w:rFonts w:cs="Arial"/>
                <w:b/>
                <w:sz w:val="22"/>
                <w:szCs w:val="22"/>
              </w:rPr>
              <w:t>-under/over spend</w:t>
            </w:r>
          </w:p>
        </w:tc>
      </w:tr>
      <w:tr w:rsidR="003407E4" w:rsidRPr="00102BA5" w:rsidTr="006236CE">
        <w:trPr>
          <w:trHeight w:val="305"/>
        </w:trPr>
        <w:tc>
          <w:tcPr>
            <w:tcW w:w="0" w:type="auto"/>
            <w:tcBorders>
              <w:top w:val="nil"/>
            </w:tcBorders>
            <w:vAlign w:val="center"/>
          </w:tcPr>
          <w:p w:rsidR="003608CE" w:rsidRPr="00102BA5" w:rsidRDefault="003608CE" w:rsidP="009B3D43">
            <w:pPr>
              <w:pStyle w:val="Body1"/>
              <w:jc w:val="both"/>
              <w:outlineLvl w:val="9"/>
              <w:rPr>
                <w:rFonts w:cs="Arial"/>
                <w:b/>
                <w:sz w:val="22"/>
                <w:szCs w:val="22"/>
                <w:highlight w:val="yellow"/>
              </w:rPr>
            </w:pPr>
          </w:p>
        </w:tc>
        <w:tc>
          <w:tcPr>
            <w:tcW w:w="0" w:type="auto"/>
            <w:tcBorders>
              <w:top w:val="nil"/>
            </w:tcBorders>
            <w:vAlign w:val="center"/>
          </w:tcPr>
          <w:p w:rsidR="003608CE" w:rsidRPr="003407E4" w:rsidRDefault="003608CE" w:rsidP="004F6DD0">
            <w:pPr>
              <w:jc w:val="center"/>
              <w:rPr>
                <w:rFonts w:cs="Arial"/>
              </w:rPr>
            </w:pPr>
            <w:r w:rsidRPr="003407E4">
              <w:rPr>
                <w:rFonts w:eastAsia="Arial Unicode MS" w:cs="Arial"/>
                <w:b/>
              </w:rPr>
              <w:t>£m</w:t>
            </w:r>
          </w:p>
        </w:tc>
        <w:tc>
          <w:tcPr>
            <w:tcW w:w="0" w:type="auto"/>
            <w:tcBorders>
              <w:top w:val="nil"/>
            </w:tcBorders>
            <w:vAlign w:val="center"/>
          </w:tcPr>
          <w:p w:rsidR="003608CE" w:rsidRPr="003407E4" w:rsidRDefault="003608CE" w:rsidP="004F6DD0">
            <w:pPr>
              <w:jc w:val="center"/>
              <w:rPr>
                <w:rFonts w:cs="Arial"/>
              </w:rPr>
            </w:pPr>
            <w:r w:rsidRPr="003407E4">
              <w:rPr>
                <w:rFonts w:eastAsia="Arial Unicode MS" w:cs="Arial"/>
                <w:b/>
              </w:rPr>
              <w:t>£m</w:t>
            </w:r>
          </w:p>
        </w:tc>
        <w:tc>
          <w:tcPr>
            <w:tcW w:w="0" w:type="auto"/>
            <w:tcBorders>
              <w:top w:val="nil"/>
            </w:tcBorders>
            <w:vAlign w:val="center"/>
          </w:tcPr>
          <w:p w:rsidR="003608CE" w:rsidRPr="003407E4" w:rsidRDefault="003608CE" w:rsidP="004F6DD0">
            <w:pPr>
              <w:jc w:val="center"/>
              <w:rPr>
                <w:rFonts w:cs="Arial"/>
              </w:rPr>
            </w:pPr>
            <w:r w:rsidRPr="003407E4">
              <w:rPr>
                <w:rFonts w:eastAsia="Arial Unicode MS" w:cs="Arial"/>
                <w:b/>
              </w:rPr>
              <w:t>£m</w:t>
            </w:r>
          </w:p>
        </w:tc>
        <w:tc>
          <w:tcPr>
            <w:tcW w:w="0" w:type="auto"/>
            <w:tcBorders>
              <w:top w:val="nil"/>
            </w:tcBorders>
            <w:vAlign w:val="center"/>
          </w:tcPr>
          <w:p w:rsidR="003608CE" w:rsidRPr="003407E4" w:rsidRDefault="003608CE" w:rsidP="004F6DD0">
            <w:pPr>
              <w:jc w:val="center"/>
              <w:rPr>
                <w:rFonts w:cs="Arial"/>
              </w:rPr>
            </w:pPr>
            <w:r w:rsidRPr="003407E4">
              <w:rPr>
                <w:rFonts w:eastAsia="Arial Unicode MS" w:cs="Arial"/>
                <w:b/>
              </w:rPr>
              <w:t>%</w:t>
            </w:r>
          </w:p>
        </w:tc>
      </w:tr>
      <w:tr w:rsidR="003407E4" w:rsidRPr="00102BA5" w:rsidTr="004F6DD0">
        <w:trPr>
          <w:trHeight w:val="429"/>
        </w:trPr>
        <w:tc>
          <w:tcPr>
            <w:tcW w:w="0" w:type="auto"/>
            <w:vAlign w:val="center"/>
          </w:tcPr>
          <w:p w:rsidR="003608CE" w:rsidRPr="00102BA5" w:rsidRDefault="003608CE" w:rsidP="00C773CB">
            <w:pPr>
              <w:pStyle w:val="Body1"/>
              <w:ind w:left="57"/>
              <w:outlineLvl w:val="9"/>
              <w:rPr>
                <w:rFonts w:cs="Arial"/>
                <w:sz w:val="22"/>
                <w:szCs w:val="22"/>
              </w:rPr>
            </w:pPr>
            <w:r w:rsidRPr="00102BA5">
              <w:rPr>
                <w:rFonts w:cs="Arial"/>
                <w:sz w:val="22"/>
                <w:szCs w:val="22"/>
              </w:rPr>
              <w:t>Adult Services</w:t>
            </w:r>
            <w:r w:rsidR="00C773CB" w:rsidRPr="00102BA5">
              <w:rPr>
                <w:rFonts w:cs="Arial"/>
                <w:sz w:val="22"/>
                <w:szCs w:val="22"/>
              </w:rPr>
              <w:t>, Health and Wellbeing Directorate</w:t>
            </w:r>
          </w:p>
        </w:tc>
        <w:tc>
          <w:tcPr>
            <w:tcW w:w="0" w:type="auto"/>
            <w:vAlign w:val="center"/>
          </w:tcPr>
          <w:p w:rsidR="003608CE" w:rsidRPr="00102BA5" w:rsidRDefault="003752D0" w:rsidP="004F6DD0">
            <w:pPr>
              <w:pStyle w:val="Body1"/>
              <w:ind w:right="113"/>
              <w:jc w:val="right"/>
              <w:outlineLvl w:val="9"/>
              <w:rPr>
                <w:rFonts w:cs="Arial"/>
                <w:sz w:val="22"/>
                <w:szCs w:val="22"/>
              </w:rPr>
            </w:pPr>
            <w:r w:rsidRPr="00102BA5">
              <w:rPr>
                <w:rFonts w:cs="Arial"/>
                <w:sz w:val="22"/>
                <w:szCs w:val="22"/>
              </w:rPr>
              <w:t>340</w:t>
            </w:r>
            <w:r w:rsidR="003608CE" w:rsidRPr="00102BA5">
              <w:rPr>
                <w:rFonts w:cs="Arial"/>
                <w:sz w:val="22"/>
                <w:szCs w:val="22"/>
              </w:rPr>
              <w:t>.</w:t>
            </w:r>
            <w:r w:rsidR="00102BA5" w:rsidRPr="00102BA5">
              <w:rPr>
                <w:rFonts w:cs="Arial"/>
                <w:sz w:val="22"/>
                <w:szCs w:val="22"/>
              </w:rPr>
              <w:t>897</w:t>
            </w:r>
          </w:p>
        </w:tc>
        <w:tc>
          <w:tcPr>
            <w:tcW w:w="0" w:type="auto"/>
            <w:vAlign w:val="center"/>
          </w:tcPr>
          <w:p w:rsidR="003608CE" w:rsidRPr="00102BA5" w:rsidRDefault="003752D0" w:rsidP="004F6DD0">
            <w:pPr>
              <w:pStyle w:val="Body1"/>
              <w:tabs>
                <w:tab w:val="left" w:pos="917"/>
              </w:tabs>
              <w:ind w:right="113"/>
              <w:jc w:val="right"/>
              <w:outlineLvl w:val="9"/>
              <w:rPr>
                <w:rFonts w:cs="Arial"/>
                <w:sz w:val="22"/>
                <w:szCs w:val="22"/>
              </w:rPr>
            </w:pPr>
            <w:r w:rsidRPr="00102BA5">
              <w:rPr>
                <w:rFonts w:cs="Arial"/>
                <w:sz w:val="22"/>
                <w:szCs w:val="22"/>
              </w:rPr>
              <w:t>34</w:t>
            </w:r>
            <w:r w:rsidR="00BA45C9">
              <w:rPr>
                <w:rFonts w:cs="Arial"/>
                <w:sz w:val="22"/>
                <w:szCs w:val="22"/>
              </w:rPr>
              <w:t>2.16</w:t>
            </w:r>
            <w:r w:rsidR="007352A4" w:rsidRPr="00102BA5">
              <w:rPr>
                <w:rFonts w:cs="Arial"/>
                <w:sz w:val="22"/>
                <w:szCs w:val="22"/>
              </w:rPr>
              <w:t>0</w:t>
            </w:r>
          </w:p>
        </w:tc>
        <w:tc>
          <w:tcPr>
            <w:tcW w:w="0" w:type="auto"/>
            <w:vAlign w:val="center"/>
          </w:tcPr>
          <w:p w:rsidR="003608CE" w:rsidRPr="00102BA5" w:rsidRDefault="00102BA5" w:rsidP="004F6DD0">
            <w:pPr>
              <w:pStyle w:val="Body1"/>
              <w:ind w:right="113"/>
              <w:jc w:val="right"/>
              <w:outlineLvl w:val="9"/>
              <w:rPr>
                <w:rFonts w:cs="Arial"/>
                <w:sz w:val="22"/>
                <w:szCs w:val="22"/>
              </w:rPr>
            </w:pPr>
            <w:r w:rsidRPr="00102BA5">
              <w:rPr>
                <w:rFonts w:cs="Arial"/>
                <w:sz w:val="22"/>
                <w:szCs w:val="22"/>
              </w:rPr>
              <w:t>1.263</w:t>
            </w:r>
          </w:p>
        </w:tc>
        <w:tc>
          <w:tcPr>
            <w:tcW w:w="0" w:type="auto"/>
            <w:vAlign w:val="center"/>
          </w:tcPr>
          <w:p w:rsidR="003608CE" w:rsidRPr="00102BA5" w:rsidRDefault="003608CE" w:rsidP="004F6DD0">
            <w:pPr>
              <w:pStyle w:val="Body1"/>
              <w:ind w:right="113"/>
              <w:jc w:val="right"/>
              <w:outlineLvl w:val="9"/>
              <w:rPr>
                <w:rFonts w:cs="Arial"/>
                <w:sz w:val="22"/>
                <w:szCs w:val="22"/>
              </w:rPr>
            </w:pPr>
            <w:r w:rsidRPr="00102BA5">
              <w:rPr>
                <w:rFonts w:cs="Arial"/>
                <w:sz w:val="22"/>
                <w:szCs w:val="22"/>
              </w:rPr>
              <w:t>0.4</w:t>
            </w:r>
          </w:p>
        </w:tc>
      </w:tr>
      <w:tr w:rsidR="003407E4" w:rsidRPr="00102BA5" w:rsidTr="004F6DD0">
        <w:trPr>
          <w:trHeight w:val="415"/>
        </w:trPr>
        <w:tc>
          <w:tcPr>
            <w:tcW w:w="0" w:type="auto"/>
            <w:vAlign w:val="center"/>
          </w:tcPr>
          <w:p w:rsidR="003608CE" w:rsidRPr="00102BA5" w:rsidRDefault="003C66D1" w:rsidP="003C66D1">
            <w:pPr>
              <w:pStyle w:val="Body1"/>
              <w:ind w:left="57"/>
              <w:jc w:val="both"/>
              <w:outlineLvl w:val="9"/>
              <w:rPr>
                <w:rFonts w:cs="Arial"/>
                <w:sz w:val="22"/>
                <w:szCs w:val="22"/>
              </w:rPr>
            </w:pPr>
            <w:r w:rsidRPr="00102BA5">
              <w:rPr>
                <w:rFonts w:cs="Arial"/>
                <w:sz w:val="22"/>
                <w:szCs w:val="22"/>
              </w:rPr>
              <w:t xml:space="preserve">Children and </w:t>
            </w:r>
            <w:r w:rsidR="003608CE" w:rsidRPr="00102BA5">
              <w:rPr>
                <w:rFonts w:cs="Arial"/>
                <w:sz w:val="22"/>
                <w:szCs w:val="22"/>
              </w:rPr>
              <w:t>Young People</w:t>
            </w:r>
          </w:p>
        </w:tc>
        <w:tc>
          <w:tcPr>
            <w:tcW w:w="0" w:type="auto"/>
            <w:vAlign w:val="center"/>
          </w:tcPr>
          <w:p w:rsidR="003608CE" w:rsidRPr="00102BA5" w:rsidRDefault="003608CE" w:rsidP="004F6DD0">
            <w:pPr>
              <w:pStyle w:val="Body1"/>
              <w:ind w:right="113"/>
              <w:jc w:val="right"/>
              <w:outlineLvl w:val="9"/>
              <w:rPr>
                <w:rFonts w:cs="Arial"/>
                <w:sz w:val="22"/>
                <w:szCs w:val="22"/>
              </w:rPr>
            </w:pPr>
            <w:r w:rsidRPr="00102BA5">
              <w:rPr>
                <w:rFonts w:cs="Arial"/>
                <w:sz w:val="22"/>
                <w:szCs w:val="22"/>
              </w:rPr>
              <w:t>160.095</w:t>
            </w:r>
          </w:p>
        </w:tc>
        <w:tc>
          <w:tcPr>
            <w:tcW w:w="0" w:type="auto"/>
            <w:vAlign w:val="center"/>
          </w:tcPr>
          <w:p w:rsidR="003608CE" w:rsidRPr="00102BA5" w:rsidRDefault="003608CE" w:rsidP="004F6DD0">
            <w:pPr>
              <w:pStyle w:val="Body1"/>
              <w:tabs>
                <w:tab w:val="left" w:pos="917"/>
              </w:tabs>
              <w:ind w:right="113"/>
              <w:jc w:val="right"/>
              <w:outlineLvl w:val="9"/>
              <w:rPr>
                <w:rFonts w:cs="Arial"/>
                <w:sz w:val="22"/>
                <w:szCs w:val="22"/>
              </w:rPr>
            </w:pPr>
            <w:r w:rsidRPr="00102BA5">
              <w:rPr>
                <w:rFonts w:cs="Arial"/>
                <w:sz w:val="22"/>
                <w:szCs w:val="22"/>
              </w:rPr>
              <w:t>16</w:t>
            </w:r>
            <w:r w:rsidR="00102BA5" w:rsidRPr="00102BA5">
              <w:rPr>
                <w:rFonts w:cs="Arial"/>
                <w:sz w:val="22"/>
                <w:szCs w:val="22"/>
              </w:rPr>
              <w:t>0.519</w:t>
            </w:r>
          </w:p>
        </w:tc>
        <w:tc>
          <w:tcPr>
            <w:tcW w:w="0" w:type="auto"/>
            <w:vAlign w:val="center"/>
          </w:tcPr>
          <w:p w:rsidR="003608CE" w:rsidRPr="00102BA5" w:rsidRDefault="00102BA5" w:rsidP="004F6DD0">
            <w:pPr>
              <w:pStyle w:val="Body1"/>
              <w:ind w:right="113"/>
              <w:jc w:val="right"/>
              <w:outlineLvl w:val="9"/>
              <w:rPr>
                <w:rFonts w:cs="Arial"/>
                <w:sz w:val="22"/>
                <w:szCs w:val="22"/>
              </w:rPr>
            </w:pPr>
            <w:r w:rsidRPr="00102BA5">
              <w:rPr>
                <w:rFonts w:cs="Arial"/>
                <w:sz w:val="22"/>
                <w:szCs w:val="22"/>
              </w:rPr>
              <w:t>0.424</w:t>
            </w:r>
          </w:p>
        </w:tc>
        <w:tc>
          <w:tcPr>
            <w:tcW w:w="0" w:type="auto"/>
            <w:vAlign w:val="center"/>
          </w:tcPr>
          <w:p w:rsidR="003608CE" w:rsidRPr="00102BA5" w:rsidRDefault="00102BA5" w:rsidP="004F6DD0">
            <w:pPr>
              <w:pStyle w:val="Body1"/>
              <w:ind w:right="113"/>
              <w:jc w:val="right"/>
              <w:outlineLvl w:val="9"/>
              <w:rPr>
                <w:rFonts w:cs="Arial"/>
                <w:sz w:val="22"/>
                <w:szCs w:val="22"/>
              </w:rPr>
            </w:pPr>
            <w:r w:rsidRPr="00102BA5">
              <w:rPr>
                <w:rFonts w:cs="Arial"/>
                <w:sz w:val="22"/>
                <w:szCs w:val="22"/>
              </w:rPr>
              <w:t>0.3</w:t>
            </w:r>
          </w:p>
        </w:tc>
      </w:tr>
      <w:tr w:rsidR="003407E4" w:rsidRPr="00102BA5" w:rsidTr="004F6DD0">
        <w:trPr>
          <w:trHeight w:val="420"/>
        </w:trPr>
        <w:tc>
          <w:tcPr>
            <w:tcW w:w="0" w:type="auto"/>
            <w:vAlign w:val="center"/>
          </w:tcPr>
          <w:p w:rsidR="003608CE" w:rsidRPr="00102BA5" w:rsidRDefault="003608CE" w:rsidP="009B3D43">
            <w:pPr>
              <w:pStyle w:val="Body1"/>
              <w:ind w:left="57"/>
              <w:jc w:val="both"/>
              <w:outlineLvl w:val="9"/>
              <w:rPr>
                <w:rFonts w:cs="Arial"/>
                <w:sz w:val="22"/>
                <w:szCs w:val="22"/>
              </w:rPr>
            </w:pPr>
            <w:r w:rsidRPr="00102BA5">
              <w:rPr>
                <w:rFonts w:cs="Arial"/>
                <w:sz w:val="22"/>
                <w:szCs w:val="22"/>
              </w:rPr>
              <w:t>Environment</w:t>
            </w:r>
          </w:p>
        </w:tc>
        <w:tc>
          <w:tcPr>
            <w:tcW w:w="0" w:type="auto"/>
            <w:vAlign w:val="center"/>
          </w:tcPr>
          <w:p w:rsidR="003608CE" w:rsidRPr="00102BA5" w:rsidRDefault="003608CE" w:rsidP="004F6DD0">
            <w:pPr>
              <w:pStyle w:val="Body1"/>
              <w:ind w:right="113"/>
              <w:jc w:val="right"/>
              <w:outlineLvl w:val="9"/>
              <w:rPr>
                <w:rFonts w:cs="Arial"/>
                <w:sz w:val="22"/>
                <w:szCs w:val="22"/>
              </w:rPr>
            </w:pPr>
            <w:r w:rsidRPr="00102BA5">
              <w:rPr>
                <w:rFonts w:cs="Arial"/>
                <w:sz w:val="22"/>
                <w:szCs w:val="22"/>
              </w:rPr>
              <w:t>185.690</w:t>
            </w:r>
          </w:p>
        </w:tc>
        <w:tc>
          <w:tcPr>
            <w:tcW w:w="0" w:type="auto"/>
            <w:vAlign w:val="center"/>
          </w:tcPr>
          <w:p w:rsidR="003608CE" w:rsidRPr="00102BA5" w:rsidRDefault="00102BA5" w:rsidP="004F6DD0">
            <w:pPr>
              <w:pStyle w:val="Body1"/>
              <w:tabs>
                <w:tab w:val="left" w:pos="917"/>
              </w:tabs>
              <w:ind w:right="113"/>
              <w:jc w:val="right"/>
              <w:outlineLvl w:val="9"/>
              <w:rPr>
                <w:rFonts w:cs="Arial"/>
                <w:sz w:val="22"/>
                <w:szCs w:val="22"/>
              </w:rPr>
            </w:pPr>
            <w:r w:rsidRPr="00102BA5">
              <w:rPr>
                <w:rFonts w:cs="Arial"/>
                <w:sz w:val="22"/>
                <w:szCs w:val="22"/>
              </w:rPr>
              <w:t>181.462</w:t>
            </w:r>
          </w:p>
        </w:tc>
        <w:tc>
          <w:tcPr>
            <w:tcW w:w="0" w:type="auto"/>
            <w:vAlign w:val="center"/>
          </w:tcPr>
          <w:p w:rsidR="003608CE" w:rsidRPr="00102BA5" w:rsidRDefault="00102BA5" w:rsidP="004F6DD0">
            <w:pPr>
              <w:pStyle w:val="Body1"/>
              <w:ind w:right="113"/>
              <w:jc w:val="right"/>
              <w:outlineLvl w:val="9"/>
              <w:rPr>
                <w:rFonts w:cs="Arial"/>
                <w:sz w:val="22"/>
                <w:szCs w:val="22"/>
              </w:rPr>
            </w:pPr>
            <w:r w:rsidRPr="00102BA5">
              <w:rPr>
                <w:rFonts w:cs="Arial"/>
                <w:sz w:val="22"/>
                <w:szCs w:val="22"/>
              </w:rPr>
              <w:t>-4.228</w:t>
            </w:r>
          </w:p>
        </w:tc>
        <w:tc>
          <w:tcPr>
            <w:tcW w:w="0" w:type="auto"/>
            <w:vAlign w:val="center"/>
          </w:tcPr>
          <w:p w:rsidR="003608CE" w:rsidRPr="00102BA5" w:rsidRDefault="00102BA5" w:rsidP="004F6DD0">
            <w:pPr>
              <w:pStyle w:val="Body1"/>
              <w:ind w:right="113"/>
              <w:jc w:val="right"/>
              <w:outlineLvl w:val="9"/>
              <w:rPr>
                <w:rFonts w:cs="Arial"/>
                <w:sz w:val="22"/>
                <w:szCs w:val="22"/>
              </w:rPr>
            </w:pPr>
            <w:r w:rsidRPr="00102BA5">
              <w:rPr>
                <w:rFonts w:cs="Arial"/>
                <w:sz w:val="22"/>
                <w:szCs w:val="22"/>
              </w:rPr>
              <w:t>-2.3</w:t>
            </w:r>
          </w:p>
        </w:tc>
      </w:tr>
      <w:tr w:rsidR="003407E4" w:rsidRPr="00102BA5" w:rsidTr="004F6DD0">
        <w:trPr>
          <w:trHeight w:val="413"/>
        </w:trPr>
        <w:tc>
          <w:tcPr>
            <w:tcW w:w="0" w:type="auto"/>
            <w:vAlign w:val="center"/>
          </w:tcPr>
          <w:p w:rsidR="003608CE" w:rsidRPr="00940642" w:rsidRDefault="003608CE" w:rsidP="009B3D43">
            <w:pPr>
              <w:pStyle w:val="Body1"/>
              <w:ind w:left="57"/>
              <w:jc w:val="both"/>
              <w:outlineLvl w:val="9"/>
              <w:rPr>
                <w:rFonts w:cs="Arial"/>
                <w:sz w:val="22"/>
                <w:szCs w:val="22"/>
              </w:rPr>
            </w:pPr>
            <w:r w:rsidRPr="00940642">
              <w:rPr>
                <w:rFonts w:cs="Arial"/>
                <w:sz w:val="22"/>
                <w:szCs w:val="22"/>
              </w:rPr>
              <w:t>Office of the Chief Executive</w:t>
            </w:r>
          </w:p>
        </w:tc>
        <w:tc>
          <w:tcPr>
            <w:tcW w:w="0" w:type="auto"/>
            <w:vAlign w:val="center"/>
          </w:tcPr>
          <w:p w:rsidR="003608CE" w:rsidRPr="00940642" w:rsidRDefault="003608CE" w:rsidP="003407E4">
            <w:pPr>
              <w:pStyle w:val="Body1"/>
              <w:ind w:right="113"/>
              <w:jc w:val="right"/>
              <w:outlineLvl w:val="9"/>
              <w:rPr>
                <w:rFonts w:cs="Arial"/>
                <w:sz w:val="22"/>
                <w:szCs w:val="22"/>
              </w:rPr>
            </w:pPr>
            <w:r w:rsidRPr="00940642">
              <w:rPr>
                <w:rFonts w:cs="Arial"/>
                <w:sz w:val="22"/>
                <w:szCs w:val="22"/>
              </w:rPr>
              <w:t>21.</w:t>
            </w:r>
            <w:r w:rsidR="003407E4" w:rsidRPr="00940642">
              <w:rPr>
                <w:rFonts w:cs="Arial"/>
                <w:sz w:val="22"/>
                <w:szCs w:val="22"/>
              </w:rPr>
              <w:t>449</w:t>
            </w:r>
          </w:p>
        </w:tc>
        <w:tc>
          <w:tcPr>
            <w:tcW w:w="0" w:type="auto"/>
            <w:vAlign w:val="center"/>
          </w:tcPr>
          <w:p w:rsidR="003608CE" w:rsidRPr="00940642" w:rsidRDefault="003407E4" w:rsidP="003407E4">
            <w:pPr>
              <w:pStyle w:val="Body1"/>
              <w:tabs>
                <w:tab w:val="left" w:pos="917"/>
              </w:tabs>
              <w:ind w:right="113"/>
              <w:jc w:val="right"/>
              <w:outlineLvl w:val="9"/>
              <w:rPr>
                <w:rFonts w:cs="Arial"/>
                <w:sz w:val="22"/>
                <w:szCs w:val="22"/>
              </w:rPr>
            </w:pPr>
            <w:r w:rsidRPr="00940642">
              <w:rPr>
                <w:rFonts w:cs="Arial"/>
                <w:sz w:val="22"/>
                <w:szCs w:val="22"/>
              </w:rPr>
              <w:t>21.784</w:t>
            </w:r>
          </w:p>
        </w:tc>
        <w:tc>
          <w:tcPr>
            <w:tcW w:w="0" w:type="auto"/>
            <w:vAlign w:val="center"/>
          </w:tcPr>
          <w:p w:rsidR="003608CE" w:rsidRPr="00940642" w:rsidRDefault="003608CE" w:rsidP="004F6DD0">
            <w:pPr>
              <w:pStyle w:val="Body1"/>
              <w:ind w:right="113"/>
              <w:jc w:val="right"/>
              <w:outlineLvl w:val="9"/>
              <w:rPr>
                <w:rFonts w:cs="Arial"/>
                <w:sz w:val="22"/>
                <w:szCs w:val="22"/>
              </w:rPr>
            </w:pPr>
            <w:r w:rsidRPr="00940642">
              <w:rPr>
                <w:rFonts w:cs="Arial"/>
                <w:sz w:val="22"/>
                <w:szCs w:val="22"/>
              </w:rPr>
              <w:t>0.</w:t>
            </w:r>
            <w:r w:rsidR="003407E4" w:rsidRPr="00940642">
              <w:rPr>
                <w:rFonts w:cs="Arial"/>
                <w:sz w:val="22"/>
                <w:szCs w:val="22"/>
              </w:rPr>
              <w:t>335</w:t>
            </w:r>
          </w:p>
        </w:tc>
        <w:tc>
          <w:tcPr>
            <w:tcW w:w="0" w:type="auto"/>
            <w:vAlign w:val="center"/>
          </w:tcPr>
          <w:p w:rsidR="003608CE" w:rsidRPr="00940642" w:rsidRDefault="003407E4" w:rsidP="003407E4">
            <w:pPr>
              <w:pStyle w:val="Body1"/>
              <w:ind w:right="113"/>
              <w:jc w:val="right"/>
              <w:outlineLvl w:val="9"/>
              <w:rPr>
                <w:rFonts w:cs="Arial"/>
                <w:sz w:val="22"/>
                <w:szCs w:val="22"/>
              </w:rPr>
            </w:pPr>
            <w:r w:rsidRPr="00940642">
              <w:rPr>
                <w:rFonts w:cs="Arial"/>
                <w:sz w:val="22"/>
                <w:szCs w:val="22"/>
              </w:rPr>
              <w:t>1</w:t>
            </w:r>
            <w:r w:rsidR="000F5879" w:rsidRPr="00940642">
              <w:rPr>
                <w:rFonts w:cs="Arial"/>
                <w:sz w:val="22"/>
                <w:szCs w:val="22"/>
              </w:rPr>
              <w:t>.</w:t>
            </w:r>
            <w:r w:rsidRPr="00940642">
              <w:rPr>
                <w:rFonts w:cs="Arial"/>
                <w:sz w:val="22"/>
                <w:szCs w:val="22"/>
              </w:rPr>
              <w:t>5</w:t>
            </w:r>
          </w:p>
        </w:tc>
      </w:tr>
      <w:tr w:rsidR="003407E4" w:rsidRPr="00102BA5" w:rsidTr="004F6DD0">
        <w:trPr>
          <w:trHeight w:val="419"/>
        </w:trPr>
        <w:tc>
          <w:tcPr>
            <w:tcW w:w="0" w:type="auto"/>
            <w:vAlign w:val="center"/>
          </w:tcPr>
          <w:p w:rsidR="003608CE" w:rsidRPr="00940642" w:rsidRDefault="003608CE" w:rsidP="009B3D43">
            <w:pPr>
              <w:pStyle w:val="Body1"/>
              <w:ind w:left="57"/>
              <w:jc w:val="both"/>
              <w:outlineLvl w:val="9"/>
              <w:rPr>
                <w:rFonts w:cs="Arial"/>
                <w:color w:val="auto"/>
                <w:sz w:val="22"/>
                <w:szCs w:val="22"/>
              </w:rPr>
            </w:pPr>
            <w:r w:rsidRPr="00940642">
              <w:rPr>
                <w:rFonts w:cs="Arial"/>
                <w:color w:val="auto"/>
                <w:sz w:val="22"/>
                <w:szCs w:val="22"/>
              </w:rPr>
              <w:t>County Treasurer</w:t>
            </w:r>
          </w:p>
        </w:tc>
        <w:tc>
          <w:tcPr>
            <w:tcW w:w="0" w:type="auto"/>
            <w:vAlign w:val="center"/>
          </w:tcPr>
          <w:p w:rsidR="003608CE" w:rsidRPr="00940642" w:rsidRDefault="003608CE" w:rsidP="003407E4">
            <w:pPr>
              <w:pStyle w:val="Body1"/>
              <w:ind w:right="113"/>
              <w:jc w:val="right"/>
              <w:outlineLvl w:val="9"/>
              <w:rPr>
                <w:rFonts w:cs="Arial"/>
                <w:color w:val="auto"/>
                <w:sz w:val="22"/>
                <w:szCs w:val="22"/>
              </w:rPr>
            </w:pPr>
            <w:r w:rsidRPr="00940642">
              <w:rPr>
                <w:rFonts w:cs="Arial"/>
                <w:color w:val="auto"/>
                <w:sz w:val="22"/>
                <w:szCs w:val="22"/>
              </w:rPr>
              <w:t>4.9</w:t>
            </w:r>
            <w:r w:rsidR="003407E4" w:rsidRPr="00940642">
              <w:rPr>
                <w:rFonts w:cs="Arial"/>
                <w:color w:val="auto"/>
                <w:sz w:val="22"/>
                <w:szCs w:val="22"/>
              </w:rPr>
              <w:t>79</w:t>
            </w:r>
          </w:p>
        </w:tc>
        <w:tc>
          <w:tcPr>
            <w:tcW w:w="0" w:type="auto"/>
            <w:vAlign w:val="center"/>
          </w:tcPr>
          <w:p w:rsidR="003608CE" w:rsidRPr="00940642" w:rsidRDefault="003608CE" w:rsidP="003407E4">
            <w:pPr>
              <w:pStyle w:val="Body1"/>
              <w:tabs>
                <w:tab w:val="left" w:pos="917"/>
              </w:tabs>
              <w:ind w:right="113"/>
              <w:jc w:val="right"/>
              <w:outlineLvl w:val="9"/>
              <w:rPr>
                <w:rFonts w:cs="Arial"/>
                <w:color w:val="auto"/>
                <w:sz w:val="22"/>
                <w:szCs w:val="22"/>
              </w:rPr>
            </w:pPr>
            <w:r w:rsidRPr="00940642">
              <w:rPr>
                <w:rFonts w:cs="Arial"/>
                <w:color w:val="auto"/>
                <w:sz w:val="22"/>
                <w:szCs w:val="22"/>
              </w:rPr>
              <w:t>4.</w:t>
            </w:r>
            <w:r w:rsidR="003407E4" w:rsidRPr="00940642">
              <w:rPr>
                <w:rFonts w:cs="Arial"/>
                <w:color w:val="auto"/>
                <w:sz w:val="22"/>
                <w:szCs w:val="22"/>
              </w:rPr>
              <w:t>556</w:t>
            </w:r>
          </w:p>
        </w:tc>
        <w:tc>
          <w:tcPr>
            <w:tcW w:w="0" w:type="auto"/>
            <w:vAlign w:val="center"/>
          </w:tcPr>
          <w:p w:rsidR="003608CE" w:rsidRPr="00940642" w:rsidRDefault="003608CE" w:rsidP="003407E4">
            <w:pPr>
              <w:pStyle w:val="Body1"/>
              <w:ind w:right="113"/>
              <w:jc w:val="right"/>
              <w:outlineLvl w:val="9"/>
              <w:rPr>
                <w:rFonts w:cs="Arial"/>
                <w:color w:val="auto"/>
                <w:sz w:val="22"/>
                <w:szCs w:val="22"/>
              </w:rPr>
            </w:pPr>
            <w:r w:rsidRPr="00940642">
              <w:rPr>
                <w:rFonts w:cs="Arial"/>
                <w:color w:val="auto"/>
                <w:sz w:val="22"/>
                <w:szCs w:val="22"/>
              </w:rPr>
              <w:t>-0.</w:t>
            </w:r>
            <w:r w:rsidR="003407E4" w:rsidRPr="00940642">
              <w:rPr>
                <w:rFonts w:cs="Arial"/>
                <w:color w:val="auto"/>
                <w:sz w:val="22"/>
                <w:szCs w:val="22"/>
              </w:rPr>
              <w:t>422</w:t>
            </w:r>
          </w:p>
        </w:tc>
        <w:tc>
          <w:tcPr>
            <w:tcW w:w="0" w:type="auto"/>
            <w:vAlign w:val="center"/>
          </w:tcPr>
          <w:p w:rsidR="003608CE" w:rsidRPr="00940642" w:rsidRDefault="003608CE" w:rsidP="003407E4">
            <w:pPr>
              <w:pStyle w:val="Body1"/>
              <w:ind w:right="113"/>
              <w:jc w:val="right"/>
              <w:outlineLvl w:val="9"/>
              <w:rPr>
                <w:rFonts w:cs="Arial"/>
                <w:color w:val="auto"/>
                <w:sz w:val="22"/>
                <w:szCs w:val="22"/>
              </w:rPr>
            </w:pPr>
            <w:r w:rsidRPr="00940642">
              <w:rPr>
                <w:rFonts w:cs="Arial"/>
                <w:color w:val="auto"/>
                <w:sz w:val="22"/>
                <w:szCs w:val="22"/>
              </w:rPr>
              <w:t>-</w:t>
            </w:r>
            <w:r w:rsidR="003407E4" w:rsidRPr="00940642">
              <w:rPr>
                <w:rFonts w:cs="Arial"/>
                <w:color w:val="auto"/>
                <w:sz w:val="22"/>
                <w:szCs w:val="22"/>
              </w:rPr>
              <w:t>8.5</w:t>
            </w:r>
          </w:p>
        </w:tc>
      </w:tr>
      <w:tr w:rsidR="003407E4" w:rsidRPr="00102BA5" w:rsidTr="004F6DD0">
        <w:trPr>
          <w:trHeight w:val="414"/>
        </w:trPr>
        <w:tc>
          <w:tcPr>
            <w:tcW w:w="0" w:type="auto"/>
            <w:vAlign w:val="center"/>
          </w:tcPr>
          <w:p w:rsidR="003608CE" w:rsidRPr="00940642" w:rsidRDefault="003608CE" w:rsidP="009B3D43">
            <w:pPr>
              <w:pStyle w:val="Body1"/>
              <w:ind w:left="57"/>
              <w:jc w:val="both"/>
              <w:outlineLvl w:val="9"/>
              <w:rPr>
                <w:rFonts w:cs="Arial"/>
                <w:color w:val="auto"/>
                <w:sz w:val="22"/>
                <w:szCs w:val="22"/>
              </w:rPr>
            </w:pPr>
            <w:r w:rsidRPr="00940642">
              <w:rPr>
                <w:rFonts w:cs="Arial"/>
                <w:color w:val="auto"/>
                <w:sz w:val="22"/>
                <w:szCs w:val="22"/>
              </w:rPr>
              <w:t>Strategic Partnership</w:t>
            </w:r>
          </w:p>
        </w:tc>
        <w:tc>
          <w:tcPr>
            <w:tcW w:w="0" w:type="auto"/>
            <w:vAlign w:val="center"/>
          </w:tcPr>
          <w:p w:rsidR="003608CE" w:rsidRPr="00940642" w:rsidRDefault="003608CE" w:rsidP="003407E4">
            <w:pPr>
              <w:pStyle w:val="Body1"/>
              <w:ind w:right="113"/>
              <w:jc w:val="right"/>
              <w:outlineLvl w:val="9"/>
              <w:rPr>
                <w:rFonts w:cs="Arial"/>
                <w:color w:val="auto"/>
                <w:sz w:val="22"/>
                <w:szCs w:val="22"/>
              </w:rPr>
            </w:pPr>
            <w:r w:rsidRPr="00940642">
              <w:rPr>
                <w:rFonts w:cs="Arial"/>
                <w:color w:val="auto"/>
                <w:sz w:val="22"/>
                <w:szCs w:val="22"/>
              </w:rPr>
              <w:t>18.</w:t>
            </w:r>
            <w:r w:rsidR="003407E4" w:rsidRPr="00940642">
              <w:rPr>
                <w:rFonts w:cs="Arial"/>
                <w:color w:val="auto"/>
                <w:sz w:val="22"/>
                <w:szCs w:val="22"/>
              </w:rPr>
              <w:t>470</w:t>
            </w:r>
          </w:p>
        </w:tc>
        <w:tc>
          <w:tcPr>
            <w:tcW w:w="0" w:type="auto"/>
            <w:vAlign w:val="center"/>
          </w:tcPr>
          <w:p w:rsidR="003608CE" w:rsidRPr="00940642" w:rsidRDefault="003608CE" w:rsidP="003407E4">
            <w:pPr>
              <w:pStyle w:val="Body1"/>
              <w:tabs>
                <w:tab w:val="left" w:pos="917"/>
              </w:tabs>
              <w:ind w:right="113"/>
              <w:jc w:val="right"/>
              <w:outlineLvl w:val="9"/>
              <w:rPr>
                <w:rFonts w:cs="Arial"/>
                <w:color w:val="auto"/>
                <w:sz w:val="22"/>
                <w:szCs w:val="22"/>
              </w:rPr>
            </w:pPr>
            <w:r w:rsidRPr="00940642">
              <w:rPr>
                <w:rFonts w:cs="Arial"/>
                <w:color w:val="auto"/>
                <w:sz w:val="22"/>
                <w:szCs w:val="22"/>
              </w:rPr>
              <w:t>2</w:t>
            </w:r>
            <w:r w:rsidR="00331458" w:rsidRPr="00940642">
              <w:rPr>
                <w:rFonts w:cs="Arial"/>
                <w:color w:val="auto"/>
                <w:sz w:val="22"/>
                <w:szCs w:val="22"/>
              </w:rPr>
              <w:t>3.</w:t>
            </w:r>
            <w:r w:rsidR="003407E4" w:rsidRPr="00940642">
              <w:rPr>
                <w:rFonts w:cs="Arial"/>
                <w:color w:val="auto"/>
                <w:sz w:val="22"/>
                <w:szCs w:val="22"/>
              </w:rPr>
              <w:t>855</w:t>
            </w:r>
          </w:p>
        </w:tc>
        <w:tc>
          <w:tcPr>
            <w:tcW w:w="0" w:type="auto"/>
            <w:vAlign w:val="center"/>
          </w:tcPr>
          <w:p w:rsidR="003608CE" w:rsidRPr="00940642" w:rsidRDefault="00331458" w:rsidP="003407E4">
            <w:pPr>
              <w:pStyle w:val="Body1"/>
              <w:ind w:right="113"/>
              <w:jc w:val="right"/>
              <w:outlineLvl w:val="9"/>
              <w:rPr>
                <w:rFonts w:cs="Arial"/>
                <w:color w:val="auto"/>
                <w:sz w:val="22"/>
                <w:szCs w:val="22"/>
              </w:rPr>
            </w:pPr>
            <w:r w:rsidRPr="00940642">
              <w:rPr>
                <w:rFonts w:cs="Arial"/>
                <w:color w:val="auto"/>
                <w:sz w:val="22"/>
                <w:szCs w:val="22"/>
              </w:rPr>
              <w:t>5.</w:t>
            </w:r>
            <w:r w:rsidR="003407E4" w:rsidRPr="00940642">
              <w:rPr>
                <w:rFonts w:cs="Arial"/>
                <w:color w:val="auto"/>
                <w:sz w:val="22"/>
                <w:szCs w:val="22"/>
              </w:rPr>
              <w:t>385</w:t>
            </w:r>
          </w:p>
        </w:tc>
        <w:tc>
          <w:tcPr>
            <w:tcW w:w="0" w:type="auto"/>
            <w:vAlign w:val="center"/>
          </w:tcPr>
          <w:p w:rsidR="003608CE" w:rsidRPr="00940642" w:rsidRDefault="00331458" w:rsidP="003407E4">
            <w:pPr>
              <w:pStyle w:val="Body1"/>
              <w:ind w:right="113"/>
              <w:jc w:val="right"/>
              <w:outlineLvl w:val="9"/>
              <w:rPr>
                <w:rFonts w:cs="Arial"/>
                <w:color w:val="auto"/>
                <w:sz w:val="22"/>
                <w:szCs w:val="22"/>
              </w:rPr>
            </w:pPr>
            <w:r w:rsidRPr="00940642">
              <w:rPr>
                <w:rFonts w:cs="Arial"/>
                <w:color w:val="auto"/>
                <w:sz w:val="22"/>
                <w:szCs w:val="22"/>
              </w:rPr>
              <w:t>2</w:t>
            </w:r>
            <w:r w:rsidR="003407E4" w:rsidRPr="00940642">
              <w:rPr>
                <w:rFonts w:cs="Arial"/>
                <w:color w:val="auto"/>
                <w:sz w:val="22"/>
                <w:szCs w:val="22"/>
              </w:rPr>
              <w:t>9</w:t>
            </w:r>
            <w:r w:rsidRPr="00940642">
              <w:rPr>
                <w:rFonts w:cs="Arial"/>
                <w:color w:val="auto"/>
                <w:sz w:val="22"/>
                <w:szCs w:val="22"/>
              </w:rPr>
              <w:t>.</w:t>
            </w:r>
            <w:r w:rsidR="003407E4" w:rsidRPr="00940642">
              <w:rPr>
                <w:rFonts w:cs="Arial"/>
                <w:color w:val="auto"/>
                <w:sz w:val="22"/>
                <w:szCs w:val="22"/>
              </w:rPr>
              <w:t>2</w:t>
            </w:r>
          </w:p>
        </w:tc>
      </w:tr>
      <w:tr w:rsidR="003407E4" w:rsidRPr="00102BA5" w:rsidTr="004F6DD0">
        <w:trPr>
          <w:trHeight w:val="415"/>
        </w:trPr>
        <w:tc>
          <w:tcPr>
            <w:tcW w:w="0" w:type="auto"/>
            <w:vAlign w:val="center"/>
          </w:tcPr>
          <w:p w:rsidR="003608CE" w:rsidRPr="00940642" w:rsidRDefault="003608CE" w:rsidP="009B3D43">
            <w:pPr>
              <w:pStyle w:val="Body1"/>
              <w:ind w:left="57"/>
              <w:jc w:val="both"/>
              <w:outlineLvl w:val="9"/>
              <w:rPr>
                <w:rFonts w:cs="Arial"/>
                <w:sz w:val="22"/>
                <w:szCs w:val="22"/>
              </w:rPr>
            </w:pPr>
            <w:r w:rsidRPr="00940642">
              <w:rPr>
                <w:rFonts w:cs="Arial"/>
                <w:sz w:val="22"/>
                <w:szCs w:val="22"/>
              </w:rPr>
              <w:t>Corporate</w:t>
            </w:r>
          </w:p>
        </w:tc>
        <w:tc>
          <w:tcPr>
            <w:tcW w:w="0" w:type="auto"/>
            <w:vAlign w:val="center"/>
          </w:tcPr>
          <w:p w:rsidR="003608CE" w:rsidRPr="00940642" w:rsidRDefault="00BA45C9" w:rsidP="004F6DD0">
            <w:pPr>
              <w:pStyle w:val="Body1"/>
              <w:ind w:right="113"/>
              <w:jc w:val="right"/>
              <w:outlineLvl w:val="9"/>
              <w:rPr>
                <w:rFonts w:cs="Arial"/>
                <w:sz w:val="22"/>
                <w:szCs w:val="22"/>
              </w:rPr>
            </w:pPr>
            <w:r>
              <w:rPr>
                <w:rFonts w:cs="Arial"/>
                <w:sz w:val="22"/>
                <w:szCs w:val="22"/>
              </w:rPr>
              <w:t>15.123</w:t>
            </w:r>
          </w:p>
        </w:tc>
        <w:tc>
          <w:tcPr>
            <w:tcW w:w="0" w:type="auto"/>
            <w:vAlign w:val="center"/>
          </w:tcPr>
          <w:p w:rsidR="003608CE" w:rsidRPr="00940642" w:rsidRDefault="00BA45C9" w:rsidP="00F678A7">
            <w:pPr>
              <w:pStyle w:val="Body1"/>
              <w:tabs>
                <w:tab w:val="left" w:pos="917"/>
              </w:tabs>
              <w:ind w:right="113"/>
              <w:jc w:val="right"/>
              <w:outlineLvl w:val="9"/>
              <w:rPr>
                <w:rFonts w:cs="Arial"/>
                <w:sz w:val="22"/>
                <w:szCs w:val="22"/>
              </w:rPr>
            </w:pPr>
            <w:r>
              <w:rPr>
                <w:rFonts w:cs="Arial"/>
                <w:sz w:val="22"/>
                <w:szCs w:val="22"/>
              </w:rPr>
              <w:t>16.843</w:t>
            </w:r>
          </w:p>
        </w:tc>
        <w:tc>
          <w:tcPr>
            <w:tcW w:w="0" w:type="auto"/>
            <w:vAlign w:val="center"/>
          </w:tcPr>
          <w:p w:rsidR="003608CE" w:rsidRPr="00940642" w:rsidRDefault="00940642" w:rsidP="00F678A7">
            <w:pPr>
              <w:pStyle w:val="Body1"/>
              <w:ind w:right="113"/>
              <w:jc w:val="right"/>
              <w:outlineLvl w:val="9"/>
              <w:rPr>
                <w:rFonts w:cs="Arial"/>
                <w:sz w:val="22"/>
                <w:szCs w:val="22"/>
              </w:rPr>
            </w:pPr>
            <w:r w:rsidRPr="00940642">
              <w:rPr>
                <w:rFonts w:cs="Arial"/>
                <w:sz w:val="22"/>
                <w:szCs w:val="22"/>
              </w:rPr>
              <w:t>1.</w:t>
            </w:r>
            <w:r w:rsidR="00BA45C9">
              <w:rPr>
                <w:rFonts w:cs="Arial"/>
                <w:sz w:val="22"/>
                <w:szCs w:val="22"/>
              </w:rPr>
              <w:t>720</w:t>
            </w:r>
          </w:p>
        </w:tc>
        <w:tc>
          <w:tcPr>
            <w:tcW w:w="0" w:type="auto"/>
            <w:vAlign w:val="center"/>
          </w:tcPr>
          <w:p w:rsidR="003608CE" w:rsidRPr="00940642" w:rsidRDefault="00940642" w:rsidP="00D46307">
            <w:pPr>
              <w:pStyle w:val="Body1"/>
              <w:ind w:right="113"/>
              <w:jc w:val="right"/>
              <w:outlineLvl w:val="9"/>
              <w:rPr>
                <w:rFonts w:cs="Arial"/>
                <w:sz w:val="22"/>
                <w:szCs w:val="22"/>
              </w:rPr>
            </w:pPr>
            <w:r w:rsidRPr="00940642">
              <w:rPr>
                <w:rFonts w:cs="Arial"/>
                <w:sz w:val="22"/>
                <w:szCs w:val="22"/>
              </w:rPr>
              <w:t>1</w:t>
            </w:r>
            <w:r w:rsidR="004739B5">
              <w:rPr>
                <w:rFonts w:cs="Arial"/>
                <w:sz w:val="22"/>
                <w:szCs w:val="22"/>
              </w:rPr>
              <w:t>1.4</w:t>
            </w:r>
          </w:p>
        </w:tc>
      </w:tr>
      <w:tr w:rsidR="003407E4" w:rsidRPr="00102BA5" w:rsidTr="004F6DD0">
        <w:trPr>
          <w:trHeight w:val="690"/>
        </w:trPr>
        <w:tc>
          <w:tcPr>
            <w:tcW w:w="0" w:type="auto"/>
            <w:vAlign w:val="center"/>
          </w:tcPr>
          <w:p w:rsidR="003608CE" w:rsidRPr="00940642" w:rsidRDefault="003608CE" w:rsidP="00C773CB">
            <w:pPr>
              <w:pStyle w:val="Body1"/>
              <w:ind w:left="57"/>
              <w:outlineLvl w:val="9"/>
              <w:rPr>
                <w:rFonts w:cs="Arial"/>
                <w:sz w:val="22"/>
                <w:szCs w:val="22"/>
              </w:rPr>
            </w:pPr>
            <w:r w:rsidRPr="00940642">
              <w:rPr>
                <w:rFonts w:cs="Arial"/>
                <w:sz w:val="22"/>
                <w:szCs w:val="22"/>
              </w:rPr>
              <w:t>Lancashire County Commercial Group</w:t>
            </w:r>
            <w:r w:rsidR="001B0238" w:rsidRPr="00940642">
              <w:rPr>
                <w:rFonts w:cs="Arial"/>
                <w:sz w:val="22"/>
                <w:szCs w:val="22"/>
              </w:rPr>
              <w:t xml:space="preserve"> (LCCG)</w:t>
            </w:r>
          </w:p>
        </w:tc>
        <w:tc>
          <w:tcPr>
            <w:tcW w:w="0" w:type="auto"/>
            <w:vAlign w:val="center"/>
          </w:tcPr>
          <w:p w:rsidR="003608CE" w:rsidRPr="00940642" w:rsidRDefault="003752D0" w:rsidP="004F6DD0">
            <w:pPr>
              <w:pStyle w:val="Body1"/>
              <w:ind w:right="113"/>
              <w:jc w:val="right"/>
              <w:outlineLvl w:val="9"/>
              <w:rPr>
                <w:rFonts w:cs="Arial"/>
                <w:sz w:val="22"/>
                <w:szCs w:val="22"/>
              </w:rPr>
            </w:pPr>
            <w:r w:rsidRPr="00940642">
              <w:rPr>
                <w:rFonts w:cs="Arial"/>
                <w:sz w:val="22"/>
                <w:szCs w:val="22"/>
              </w:rPr>
              <w:t>0.963</w:t>
            </w:r>
            <w:r w:rsidR="003608CE" w:rsidRPr="00940642">
              <w:rPr>
                <w:rFonts w:cs="Arial"/>
                <w:sz w:val="22"/>
                <w:szCs w:val="22"/>
              </w:rPr>
              <w:t xml:space="preserve">      </w:t>
            </w:r>
          </w:p>
        </w:tc>
        <w:tc>
          <w:tcPr>
            <w:tcW w:w="0" w:type="auto"/>
            <w:vAlign w:val="center"/>
          </w:tcPr>
          <w:p w:rsidR="003608CE" w:rsidRPr="00940642" w:rsidRDefault="003608CE" w:rsidP="004F6DD0">
            <w:pPr>
              <w:pStyle w:val="Body1"/>
              <w:tabs>
                <w:tab w:val="left" w:pos="917"/>
              </w:tabs>
              <w:ind w:right="113"/>
              <w:jc w:val="right"/>
              <w:outlineLvl w:val="9"/>
              <w:rPr>
                <w:rFonts w:cs="Arial"/>
                <w:sz w:val="22"/>
                <w:szCs w:val="22"/>
              </w:rPr>
            </w:pPr>
            <w:r w:rsidRPr="00940642">
              <w:rPr>
                <w:rFonts w:cs="Arial"/>
                <w:sz w:val="22"/>
                <w:szCs w:val="22"/>
              </w:rPr>
              <w:t>0.</w:t>
            </w:r>
            <w:r w:rsidR="00940642" w:rsidRPr="00940642">
              <w:rPr>
                <w:rFonts w:cs="Arial"/>
                <w:sz w:val="22"/>
                <w:szCs w:val="22"/>
              </w:rPr>
              <w:t>204</w:t>
            </w:r>
          </w:p>
        </w:tc>
        <w:tc>
          <w:tcPr>
            <w:tcW w:w="0" w:type="auto"/>
            <w:vAlign w:val="center"/>
          </w:tcPr>
          <w:p w:rsidR="003608CE" w:rsidRPr="00940642" w:rsidRDefault="003608CE" w:rsidP="004F6DD0">
            <w:pPr>
              <w:pStyle w:val="Body1"/>
              <w:ind w:right="113"/>
              <w:jc w:val="right"/>
              <w:outlineLvl w:val="9"/>
              <w:rPr>
                <w:rFonts w:cs="Arial"/>
                <w:sz w:val="22"/>
                <w:szCs w:val="22"/>
              </w:rPr>
            </w:pPr>
            <w:r w:rsidRPr="00940642">
              <w:rPr>
                <w:rFonts w:cs="Arial"/>
                <w:sz w:val="22"/>
                <w:szCs w:val="22"/>
              </w:rPr>
              <w:t>-</w:t>
            </w:r>
            <w:r w:rsidR="00940642" w:rsidRPr="00940642">
              <w:rPr>
                <w:rFonts w:cs="Arial"/>
                <w:sz w:val="22"/>
                <w:szCs w:val="22"/>
              </w:rPr>
              <w:t>0.759</w:t>
            </w:r>
          </w:p>
        </w:tc>
        <w:tc>
          <w:tcPr>
            <w:tcW w:w="0" w:type="auto"/>
            <w:vAlign w:val="center"/>
          </w:tcPr>
          <w:p w:rsidR="003608CE" w:rsidRPr="00940642" w:rsidRDefault="003608CE" w:rsidP="004F6DD0">
            <w:pPr>
              <w:pStyle w:val="Body1"/>
              <w:ind w:right="113"/>
              <w:jc w:val="right"/>
              <w:outlineLvl w:val="9"/>
              <w:rPr>
                <w:rFonts w:cs="Arial"/>
                <w:sz w:val="22"/>
                <w:szCs w:val="22"/>
              </w:rPr>
            </w:pPr>
            <w:r w:rsidRPr="00940642">
              <w:rPr>
                <w:rFonts w:cs="Arial"/>
                <w:sz w:val="22"/>
                <w:szCs w:val="22"/>
              </w:rPr>
              <w:t>-</w:t>
            </w:r>
            <w:r w:rsidR="00940642" w:rsidRPr="00940642">
              <w:rPr>
                <w:rFonts w:cs="Arial"/>
                <w:sz w:val="22"/>
                <w:szCs w:val="22"/>
              </w:rPr>
              <w:t>78.8</w:t>
            </w:r>
          </w:p>
        </w:tc>
      </w:tr>
      <w:tr w:rsidR="00F61FDD" w:rsidRPr="00102BA5" w:rsidTr="004F6DD0">
        <w:trPr>
          <w:trHeight w:val="430"/>
        </w:trPr>
        <w:tc>
          <w:tcPr>
            <w:tcW w:w="0" w:type="auto"/>
            <w:vAlign w:val="center"/>
          </w:tcPr>
          <w:p w:rsidR="00F61FDD" w:rsidRPr="003407E4" w:rsidRDefault="00F61FDD" w:rsidP="009B3D43">
            <w:pPr>
              <w:pStyle w:val="Body1"/>
              <w:ind w:left="57"/>
              <w:jc w:val="both"/>
              <w:outlineLvl w:val="9"/>
              <w:rPr>
                <w:rFonts w:cs="Arial"/>
                <w:sz w:val="22"/>
                <w:szCs w:val="22"/>
              </w:rPr>
            </w:pPr>
            <w:r>
              <w:rPr>
                <w:rFonts w:cs="Arial"/>
                <w:sz w:val="22"/>
                <w:szCs w:val="22"/>
              </w:rPr>
              <w:t>Hardship Claims</w:t>
            </w:r>
          </w:p>
        </w:tc>
        <w:tc>
          <w:tcPr>
            <w:tcW w:w="0" w:type="auto"/>
            <w:vAlign w:val="center"/>
          </w:tcPr>
          <w:p w:rsidR="00F61FDD" w:rsidRPr="003407E4" w:rsidRDefault="00F61FDD" w:rsidP="004F6DD0">
            <w:pPr>
              <w:pStyle w:val="Body1"/>
              <w:ind w:right="113"/>
              <w:jc w:val="right"/>
              <w:outlineLvl w:val="9"/>
              <w:rPr>
                <w:rFonts w:cs="Arial"/>
                <w:sz w:val="22"/>
                <w:szCs w:val="22"/>
              </w:rPr>
            </w:pPr>
            <w:r>
              <w:rPr>
                <w:rFonts w:cs="Arial"/>
                <w:sz w:val="22"/>
                <w:szCs w:val="22"/>
              </w:rPr>
              <w:t>0.750</w:t>
            </w:r>
          </w:p>
        </w:tc>
        <w:tc>
          <w:tcPr>
            <w:tcW w:w="0" w:type="auto"/>
            <w:vAlign w:val="center"/>
          </w:tcPr>
          <w:p w:rsidR="00F61FDD" w:rsidRPr="00940642" w:rsidRDefault="00F61FDD" w:rsidP="004F6DD0">
            <w:pPr>
              <w:pStyle w:val="Body1"/>
              <w:tabs>
                <w:tab w:val="left" w:pos="917"/>
              </w:tabs>
              <w:ind w:right="113"/>
              <w:jc w:val="right"/>
              <w:outlineLvl w:val="9"/>
              <w:rPr>
                <w:rFonts w:cs="Arial"/>
                <w:sz w:val="22"/>
                <w:szCs w:val="22"/>
              </w:rPr>
            </w:pPr>
            <w:r>
              <w:rPr>
                <w:rFonts w:cs="Arial"/>
                <w:sz w:val="22"/>
                <w:szCs w:val="22"/>
              </w:rPr>
              <w:t>0.050</w:t>
            </w:r>
          </w:p>
        </w:tc>
        <w:tc>
          <w:tcPr>
            <w:tcW w:w="0" w:type="auto"/>
            <w:vAlign w:val="center"/>
          </w:tcPr>
          <w:p w:rsidR="00F61FDD" w:rsidRPr="00940642" w:rsidRDefault="00F61FDD" w:rsidP="004F6DD0">
            <w:pPr>
              <w:pStyle w:val="Body1"/>
              <w:ind w:right="113"/>
              <w:jc w:val="right"/>
              <w:outlineLvl w:val="9"/>
              <w:rPr>
                <w:rFonts w:cs="Arial"/>
                <w:sz w:val="22"/>
                <w:szCs w:val="22"/>
              </w:rPr>
            </w:pPr>
            <w:r>
              <w:rPr>
                <w:rFonts w:cs="Arial"/>
                <w:sz w:val="22"/>
                <w:szCs w:val="22"/>
              </w:rPr>
              <w:t>-0.700</w:t>
            </w:r>
          </w:p>
        </w:tc>
        <w:tc>
          <w:tcPr>
            <w:tcW w:w="0" w:type="auto"/>
            <w:vAlign w:val="center"/>
          </w:tcPr>
          <w:p w:rsidR="00F61FDD" w:rsidRPr="00940642" w:rsidRDefault="00F61FDD" w:rsidP="004F6DD0">
            <w:pPr>
              <w:pStyle w:val="Body1"/>
              <w:ind w:right="113"/>
              <w:jc w:val="right"/>
              <w:outlineLvl w:val="9"/>
              <w:rPr>
                <w:rFonts w:cs="Arial"/>
                <w:sz w:val="22"/>
                <w:szCs w:val="22"/>
              </w:rPr>
            </w:pPr>
            <w:r>
              <w:rPr>
                <w:rFonts w:cs="Arial"/>
                <w:sz w:val="22"/>
                <w:szCs w:val="22"/>
              </w:rPr>
              <w:t>-93.3</w:t>
            </w:r>
          </w:p>
        </w:tc>
      </w:tr>
      <w:tr w:rsidR="003407E4" w:rsidRPr="00102BA5" w:rsidTr="004F6DD0">
        <w:trPr>
          <w:trHeight w:val="430"/>
        </w:trPr>
        <w:tc>
          <w:tcPr>
            <w:tcW w:w="0" w:type="auto"/>
            <w:vAlign w:val="center"/>
          </w:tcPr>
          <w:p w:rsidR="003608CE" w:rsidRPr="003407E4" w:rsidRDefault="003608CE" w:rsidP="009B3D43">
            <w:pPr>
              <w:pStyle w:val="Body1"/>
              <w:ind w:left="57"/>
              <w:jc w:val="both"/>
              <w:outlineLvl w:val="9"/>
              <w:rPr>
                <w:rFonts w:cs="Arial"/>
                <w:sz w:val="22"/>
                <w:szCs w:val="22"/>
              </w:rPr>
            </w:pPr>
            <w:r w:rsidRPr="003407E4">
              <w:rPr>
                <w:rFonts w:cs="Arial"/>
                <w:sz w:val="22"/>
                <w:szCs w:val="22"/>
              </w:rPr>
              <w:t>Investment proposals</w:t>
            </w:r>
          </w:p>
        </w:tc>
        <w:tc>
          <w:tcPr>
            <w:tcW w:w="0" w:type="auto"/>
            <w:vAlign w:val="center"/>
          </w:tcPr>
          <w:p w:rsidR="003608CE" w:rsidRPr="003407E4" w:rsidRDefault="003608CE" w:rsidP="004F6DD0">
            <w:pPr>
              <w:pStyle w:val="Body1"/>
              <w:ind w:right="113"/>
              <w:jc w:val="right"/>
              <w:outlineLvl w:val="9"/>
              <w:rPr>
                <w:rFonts w:cs="Arial"/>
                <w:sz w:val="22"/>
                <w:szCs w:val="22"/>
              </w:rPr>
            </w:pPr>
            <w:r w:rsidRPr="003407E4">
              <w:rPr>
                <w:rFonts w:cs="Arial"/>
                <w:sz w:val="22"/>
                <w:szCs w:val="22"/>
              </w:rPr>
              <w:t>14.250</w:t>
            </w:r>
          </w:p>
        </w:tc>
        <w:tc>
          <w:tcPr>
            <w:tcW w:w="0" w:type="auto"/>
            <w:vAlign w:val="center"/>
          </w:tcPr>
          <w:p w:rsidR="003608CE" w:rsidRPr="00940642" w:rsidRDefault="003608CE" w:rsidP="004F6DD0">
            <w:pPr>
              <w:pStyle w:val="Body1"/>
              <w:tabs>
                <w:tab w:val="left" w:pos="917"/>
              </w:tabs>
              <w:ind w:right="113"/>
              <w:jc w:val="right"/>
              <w:outlineLvl w:val="9"/>
              <w:rPr>
                <w:rFonts w:cs="Arial"/>
                <w:sz w:val="22"/>
                <w:szCs w:val="22"/>
              </w:rPr>
            </w:pPr>
            <w:r w:rsidRPr="00940642">
              <w:rPr>
                <w:rFonts w:cs="Arial"/>
                <w:sz w:val="22"/>
                <w:szCs w:val="22"/>
              </w:rPr>
              <w:t>14.250</w:t>
            </w:r>
          </w:p>
        </w:tc>
        <w:tc>
          <w:tcPr>
            <w:tcW w:w="0" w:type="auto"/>
            <w:vAlign w:val="center"/>
          </w:tcPr>
          <w:p w:rsidR="003608CE" w:rsidRPr="00940642" w:rsidRDefault="003608CE" w:rsidP="004F6DD0">
            <w:pPr>
              <w:pStyle w:val="Body1"/>
              <w:ind w:right="113"/>
              <w:jc w:val="right"/>
              <w:outlineLvl w:val="9"/>
              <w:rPr>
                <w:rFonts w:cs="Arial"/>
                <w:sz w:val="22"/>
                <w:szCs w:val="22"/>
              </w:rPr>
            </w:pPr>
            <w:r w:rsidRPr="00940642">
              <w:rPr>
                <w:rFonts w:cs="Arial"/>
                <w:sz w:val="22"/>
                <w:szCs w:val="22"/>
              </w:rPr>
              <w:t>-</w:t>
            </w:r>
          </w:p>
        </w:tc>
        <w:tc>
          <w:tcPr>
            <w:tcW w:w="0" w:type="auto"/>
            <w:vAlign w:val="center"/>
          </w:tcPr>
          <w:p w:rsidR="003608CE" w:rsidRPr="00940642" w:rsidRDefault="003608CE" w:rsidP="004F6DD0">
            <w:pPr>
              <w:pStyle w:val="Body1"/>
              <w:ind w:right="113"/>
              <w:jc w:val="right"/>
              <w:outlineLvl w:val="9"/>
              <w:rPr>
                <w:rFonts w:cs="Arial"/>
                <w:sz w:val="22"/>
                <w:szCs w:val="22"/>
              </w:rPr>
            </w:pPr>
            <w:r w:rsidRPr="00940642">
              <w:rPr>
                <w:rFonts w:cs="Arial"/>
                <w:sz w:val="22"/>
                <w:szCs w:val="22"/>
              </w:rPr>
              <w:t>-</w:t>
            </w:r>
          </w:p>
        </w:tc>
      </w:tr>
      <w:tr w:rsidR="003407E4" w:rsidRPr="00102BA5" w:rsidTr="004F6DD0">
        <w:trPr>
          <w:trHeight w:val="430"/>
        </w:trPr>
        <w:tc>
          <w:tcPr>
            <w:tcW w:w="0" w:type="auto"/>
            <w:vAlign w:val="center"/>
          </w:tcPr>
          <w:p w:rsidR="003608CE" w:rsidRPr="003407E4" w:rsidRDefault="003608CE" w:rsidP="00C773CB">
            <w:pPr>
              <w:pStyle w:val="Body1"/>
              <w:ind w:left="57"/>
              <w:outlineLvl w:val="9"/>
              <w:rPr>
                <w:rFonts w:cs="Arial"/>
                <w:sz w:val="22"/>
                <w:szCs w:val="22"/>
              </w:rPr>
            </w:pPr>
            <w:r w:rsidRPr="003407E4">
              <w:rPr>
                <w:rFonts w:cs="Arial"/>
                <w:sz w:val="22"/>
                <w:szCs w:val="22"/>
              </w:rPr>
              <w:t>Contribution from Strategic Investment reserve</w:t>
            </w:r>
          </w:p>
        </w:tc>
        <w:tc>
          <w:tcPr>
            <w:tcW w:w="0" w:type="auto"/>
            <w:vAlign w:val="center"/>
          </w:tcPr>
          <w:p w:rsidR="003608CE" w:rsidRPr="003407E4" w:rsidRDefault="003608CE" w:rsidP="004F6DD0">
            <w:pPr>
              <w:pStyle w:val="Body1"/>
              <w:ind w:right="113"/>
              <w:jc w:val="right"/>
              <w:outlineLvl w:val="9"/>
              <w:rPr>
                <w:rFonts w:cs="Arial"/>
                <w:sz w:val="22"/>
                <w:szCs w:val="22"/>
              </w:rPr>
            </w:pPr>
            <w:r w:rsidRPr="003407E4">
              <w:rPr>
                <w:rFonts w:cs="Arial"/>
                <w:sz w:val="22"/>
                <w:szCs w:val="22"/>
              </w:rPr>
              <w:t>-10.000</w:t>
            </w:r>
          </w:p>
        </w:tc>
        <w:tc>
          <w:tcPr>
            <w:tcW w:w="0" w:type="auto"/>
            <w:vAlign w:val="center"/>
          </w:tcPr>
          <w:p w:rsidR="003608CE" w:rsidRPr="00940642" w:rsidRDefault="003608CE" w:rsidP="004F6DD0">
            <w:pPr>
              <w:pStyle w:val="Body1"/>
              <w:tabs>
                <w:tab w:val="left" w:pos="917"/>
              </w:tabs>
              <w:ind w:right="113"/>
              <w:jc w:val="right"/>
              <w:outlineLvl w:val="9"/>
              <w:rPr>
                <w:rFonts w:cs="Arial"/>
                <w:sz w:val="22"/>
                <w:szCs w:val="22"/>
              </w:rPr>
            </w:pPr>
            <w:r w:rsidRPr="00940642">
              <w:rPr>
                <w:rFonts w:cs="Arial"/>
                <w:sz w:val="22"/>
                <w:szCs w:val="22"/>
              </w:rPr>
              <w:t>-10.000</w:t>
            </w:r>
          </w:p>
        </w:tc>
        <w:tc>
          <w:tcPr>
            <w:tcW w:w="0" w:type="auto"/>
            <w:vAlign w:val="center"/>
          </w:tcPr>
          <w:p w:rsidR="003608CE" w:rsidRPr="00940642" w:rsidRDefault="003608CE" w:rsidP="004F6DD0">
            <w:pPr>
              <w:pStyle w:val="Body1"/>
              <w:ind w:right="113"/>
              <w:jc w:val="right"/>
              <w:outlineLvl w:val="9"/>
              <w:rPr>
                <w:rFonts w:cs="Arial"/>
                <w:sz w:val="22"/>
                <w:szCs w:val="22"/>
              </w:rPr>
            </w:pPr>
            <w:r w:rsidRPr="00940642">
              <w:rPr>
                <w:rFonts w:cs="Arial"/>
                <w:sz w:val="22"/>
                <w:szCs w:val="22"/>
              </w:rPr>
              <w:t>-</w:t>
            </w:r>
          </w:p>
        </w:tc>
        <w:tc>
          <w:tcPr>
            <w:tcW w:w="0" w:type="auto"/>
            <w:vAlign w:val="center"/>
          </w:tcPr>
          <w:p w:rsidR="003608CE" w:rsidRPr="00940642" w:rsidRDefault="003608CE" w:rsidP="004F6DD0">
            <w:pPr>
              <w:pStyle w:val="Body1"/>
              <w:ind w:right="113"/>
              <w:jc w:val="right"/>
              <w:outlineLvl w:val="9"/>
              <w:rPr>
                <w:rFonts w:cs="Arial"/>
                <w:sz w:val="22"/>
                <w:szCs w:val="22"/>
              </w:rPr>
            </w:pPr>
            <w:r w:rsidRPr="00940642">
              <w:rPr>
                <w:rFonts w:cs="Arial"/>
                <w:sz w:val="22"/>
                <w:szCs w:val="22"/>
              </w:rPr>
              <w:t>-</w:t>
            </w:r>
          </w:p>
        </w:tc>
      </w:tr>
      <w:tr w:rsidR="003407E4" w:rsidRPr="00102BA5" w:rsidTr="004F6DD0">
        <w:trPr>
          <w:trHeight w:val="430"/>
        </w:trPr>
        <w:tc>
          <w:tcPr>
            <w:tcW w:w="0" w:type="auto"/>
            <w:vAlign w:val="center"/>
          </w:tcPr>
          <w:p w:rsidR="003608CE" w:rsidRPr="003407E4" w:rsidRDefault="003608CE" w:rsidP="009B3D43">
            <w:pPr>
              <w:pStyle w:val="Body1"/>
              <w:ind w:left="57"/>
              <w:jc w:val="both"/>
              <w:outlineLvl w:val="9"/>
              <w:rPr>
                <w:rFonts w:cs="Arial"/>
                <w:sz w:val="22"/>
                <w:szCs w:val="22"/>
              </w:rPr>
            </w:pPr>
            <w:r w:rsidRPr="003407E4">
              <w:rPr>
                <w:rFonts w:cs="Arial"/>
                <w:sz w:val="22"/>
                <w:szCs w:val="22"/>
              </w:rPr>
              <w:t>Contribution from reserves</w:t>
            </w:r>
          </w:p>
        </w:tc>
        <w:tc>
          <w:tcPr>
            <w:tcW w:w="0" w:type="auto"/>
            <w:vAlign w:val="center"/>
          </w:tcPr>
          <w:p w:rsidR="003608CE" w:rsidRPr="003407E4" w:rsidRDefault="003608CE" w:rsidP="004F6DD0">
            <w:pPr>
              <w:pStyle w:val="Body1"/>
              <w:ind w:right="113"/>
              <w:jc w:val="right"/>
              <w:outlineLvl w:val="9"/>
              <w:rPr>
                <w:rFonts w:cs="Arial"/>
                <w:sz w:val="22"/>
                <w:szCs w:val="22"/>
              </w:rPr>
            </w:pPr>
            <w:r w:rsidRPr="003407E4">
              <w:rPr>
                <w:rFonts w:cs="Arial"/>
                <w:sz w:val="22"/>
                <w:szCs w:val="22"/>
              </w:rPr>
              <w:t>-5.</w:t>
            </w:r>
            <w:r w:rsidR="003407E4" w:rsidRPr="003407E4">
              <w:rPr>
                <w:rFonts w:cs="Arial"/>
                <w:sz w:val="22"/>
                <w:szCs w:val="22"/>
              </w:rPr>
              <w:t>000</w:t>
            </w:r>
          </w:p>
        </w:tc>
        <w:tc>
          <w:tcPr>
            <w:tcW w:w="0" w:type="auto"/>
            <w:vAlign w:val="center"/>
          </w:tcPr>
          <w:p w:rsidR="003608CE" w:rsidRPr="00940642" w:rsidRDefault="003608CE" w:rsidP="004F6DD0">
            <w:pPr>
              <w:pStyle w:val="Body1"/>
              <w:tabs>
                <w:tab w:val="left" w:pos="917"/>
              </w:tabs>
              <w:ind w:right="113"/>
              <w:jc w:val="right"/>
              <w:outlineLvl w:val="9"/>
              <w:rPr>
                <w:rFonts w:cs="Arial"/>
                <w:sz w:val="22"/>
                <w:szCs w:val="22"/>
              </w:rPr>
            </w:pPr>
            <w:r w:rsidRPr="00940642">
              <w:rPr>
                <w:rFonts w:cs="Arial"/>
                <w:sz w:val="22"/>
                <w:szCs w:val="22"/>
              </w:rPr>
              <w:t>-5.</w:t>
            </w:r>
            <w:r w:rsidR="003407E4" w:rsidRPr="00940642">
              <w:rPr>
                <w:rFonts w:cs="Arial"/>
                <w:sz w:val="22"/>
                <w:szCs w:val="22"/>
              </w:rPr>
              <w:t>000</w:t>
            </w:r>
          </w:p>
        </w:tc>
        <w:tc>
          <w:tcPr>
            <w:tcW w:w="0" w:type="auto"/>
            <w:vAlign w:val="center"/>
          </w:tcPr>
          <w:p w:rsidR="003608CE" w:rsidRPr="00940642" w:rsidRDefault="003608CE" w:rsidP="004F6DD0">
            <w:pPr>
              <w:pStyle w:val="Body1"/>
              <w:ind w:right="113"/>
              <w:jc w:val="right"/>
              <w:outlineLvl w:val="9"/>
              <w:rPr>
                <w:rFonts w:cs="Arial"/>
                <w:sz w:val="22"/>
                <w:szCs w:val="22"/>
              </w:rPr>
            </w:pPr>
            <w:r w:rsidRPr="00940642">
              <w:rPr>
                <w:rFonts w:cs="Arial"/>
                <w:sz w:val="22"/>
                <w:szCs w:val="22"/>
              </w:rPr>
              <w:t>-</w:t>
            </w:r>
          </w:p>
        </w:tc>
        <w:tc>
          <w:tcPr>
            <w:tcW w:w="0" w:type="auto"/>
            <w:vAlign w:val="center"/>
          </w:tcPr>
          <w:p w:rsidR="003608CE" w:rsidRPr="00940642" w:rsidRDefault="003608CE" w:rsidP="004F6DD0">
            <w:pPr>
              <w:pStyle w:val="Body1"/>
              <w:ind w:right="113"/>
              <w:jc w:val="right"/>
              <w:outlineLvl w:val="9"/>
              <w:rPr>
                <w:rFonts w:cs="Arial"/>
                <w:sz w:val="22"/>
                <w:szCs w:val="22"/>
              </w:rPr>
            </w:pPr>
            <w:r w:rsidRPr="00940642">
              <w:rPr>
                <w:rFonts w:cs="Arial"/>
                <w:sz w:val="22"/>
                <w:szCs w:val="22"/>
              </w:rPr>
              <w:t>-</w:t>
            </w:r>
          </w:p>
        </w:tc>
      </w:tr>
      <w:tr w:rsidR="003407E4" w:rsidRPr="00102BA5" w:rsidTr="004F6DD0">
        <w:trPr>
          <w:trHeight w:val="430"/>
        </w:trPr>
        <w:tc>
          <w:tcPr>
            <w:tcW w:w="0" w:type="auto"/>
            <w:vAlign w:val="center"/>
          </w:tcPr>
          <w:p w:rsidR="003608CE" w:rsidRPr="00FB01D0" w:rsidRDefault="003608CE" w:rsidP="009B3D43">
            <w:pPr>
              <w:pStyle w:val="Body1"/>
              <w:ind w:left="57"/>
              <w:jc w:val="both"/>
              <w:outlineLvl w:val="9"/>
              <w:rPr>
                <w:rFonts w:cs="Arial"/>
                <w:sz w:val="22"/>
                <w:szCs w:val="22"/>
              </w:rPr>
            </w:pPr>
            <w:r w:rsidRPr="00FB01D0">
              <w:rPr>
                <w:rFonts w:cs="Arial"/>
                <w:sz w:val="22"/>
                <w:szCs w:val="22"/>
              </w:rPr>
              <w:t>Council Tax Freeze Grant 2013/14</w:t>
            </w:r>
          </w:p>
        </w:tc>
        <w:tc>
          <w:tcPr>
            <w:tcW w:w="0" w:type="auto"/>
            <w:vAlign w:val="center"/>
          </w:tcPr>
          <w:p w:rsidR="003608CE" w:rsidRPr="00FB01D0" w:rsidRDefault="003608CE" w:rsidP="004F6DD0">
            <w:pPr>
              <w:pStyle w:val="Body1"/>
              <w:ind w:right="113"/>
              <w:jc w:val="right"/>
              <w:outlineLvl w:val="9"/>
              <w:rPr>
                <w:rFonts w:cs="Arial"/>
                <w:sz w:val="22"/>
                <w:szCs w:val="22"/>
              </w:rPr>
            </w:pPr>
            <w:r w:rsidRPr="00FB01D0">
              <w:rPr>
                <w:rFonts w:cs="Arial"/>
                <w:sz w:val="22"/>
                <w:szCs w:val="22"/>
              </w:rPr>
              <w:t>-3.672</w:t>
            </w:r>
          </w:p>
        </w:tc>
        <w:tc>
          <w:tcPr>
            <w:tcW w:w="0" w:type="auto"/>
            <w:vAlign w:val="center"/>
          </w:tcPr>
          <w:p w:rsidR="003608CE" w:rsidRPr="00940642" w:rsidRDefault="003608CE" w:rsidP="004F6DD0">
            <w:pPr>
              <w:pStyle w:val="Body1"/>
              <w:tabs>
                <w:tab w:val="left" w:pos="917"/>
              </w:tabs>
              <w:ind w:right="113"/>
              <w:jc w:val="right"/>
              <w:outlineLvl w:val="9"/>
              <w:rPr>
                <w:rFonts w:cs="Arial"/>
                <w:sz w:val="22"/>
                <w:szCs w:val="22"/>
              </w:rPr>
            </w:pPr>
            <w:r w:rsidRPr="00940642">
              <w:rPr>
                <w:rFonts w:cs="Arial"/>
                <w:sz w:val="22"/>
                <w:szCs w:val="22"/>
              </w:rPr>
              <w:t>-4.281</w:t>
            </w:r>
          </w:p>
        </w:tc>
        <w:tc>
          <w:tcPr>
            <w:tcW w:w="0" w:type="auto"/>
            <w:vAlign w:val="center"/>
          </w:tcPr>
          <w:p w:rsidR="003608CE" w:rsidRPr="00940642" w:rsidRDefault="003608CE" w:rsidP="004F6DD0">
            <w:pPr>
              <w:pStyle w:val="Body1"/>
              <w:ind w:right="113"/>
              <w:jc w:val="right"/>
              <w:outlineLvl w:val="9"/>
              <w:rPr>
                <w:rFonts w:cs="Arial"/>
                <w:sz w:val="22"/>
                <w:szCs w:val="22"/>
              </w:rPr>
            </w:pPr>
            <w:r w:rsidRPr="00940642">
              <w:rPr>
                <w:rFonts w:cs="Arial"/>
                <w:sz w:val="22"/>
                <w:szCs w:val="22"/>
              </w:rPr>
              <w:t>-0.609</w:t>
            </w:r>
          </w:p>
        </w:tc>
        <w:tc>
          <w:tcPr>
            <w:tcW w:w="0" w:type="auto"/>
            <w:vAlign w:val="center"/>
          </w:tcPr>
          <w:p w:rsidR="003608CE" w:rsidRPr="00940642" w:rsidRDefault="003608CE" w:rsidP="004F6DD0">
            <w:pPr>
              <w:pStyle w:val="Body1"/>
              <w:ind w:right="113"/>
              <w:jc w:val="right"/>
              <w:outlineLvl w:val="9"/>
              <w:rPr>
                <w:rFonts w:cs="Arial"/>
                <w:sz w:val="22"/>
                <w:szCs w:val="22"/>
              </w:rPr>
            </w:pPr>
            <w:r w:rsidRPr="00940642">
              <w:rPr>
                <w:rFonts w:cs="Arial"/>
                <w:sz w:val="22"/>
                <w:szCs w:val="22"/>
              </w:rPr>
              <w:t>-16.6</w:t>
            </w:r>
          </w:p>
        </w:tc>
      </w:tr>
      <w:tr w:rsidR="003407E4" w:rsidRPr="00102BA5" w:rsidTr="004F6DD0">
        <w:trPr>
          <w:trHeight w:val="419"/>
        </w:trPr>
        <w:tc>
          <w:tcPr>
            <w:tcW w:w="0" w:type="auto"/>
            <w:vAlign w:val="center"/>
          </w:tcPr>
          <w:p w:rsidR="003608CE" w:rsidRPr="00FB01D0" w:rsidRDefault="003608CE" w:rsidP="009B3D43">
            <w:pPr>
              <w:pStyle w:val="Body1"/>
              <w:ind w:left="57"/>
              <w:jc w:val="both"/>
              <w:outlineLvl w:val="9"/>
              <w:rPr>
                <w:rFonts w:cs="Arial"/>
                <w:b/>
                <w:sz w:val="22"/>
                <w:szCs w:val="22"/>
              </w:rPr>
            </w:pPr>
            <w:r w:rsidRPr="00FB01D0">
              <w:rPr>
                <w:rFonts w:cs="Arial"/>
                <w:sz w:val="22"/>
                <w:szCs w:val="22"/>
              </w:rPr>
              <w:t>Capital Financing</w:t>
            </w:r>
          </w:p>
        </w:tc>
        <w:tc>
          <w:tcPr>
            <w:tcW w:w="0" w:type="auto"/>
            <w:vAlign w:val="center"/>
          </w:tcPr>
          <w:p w:rsidR="003608CE" w:rsidRPr="00FB01D0" w:rsidRDefault="003608CE" w:rsidP="004F6DD0">
            <w:pPr>
              <w:ind w:right="113"/>
              <w:jc w:val="right"/>
              <w:rPr>
                <w:rFonts w:cs="Arial"/>
                <w:color w:val="000000"/>
              </w:rPr>
            </w:pPr>
            <w:r w:rsidRPr="00FB01D0">
              <w:rPr>
                <w:rFonts w:cs="Arial"/>
                <w:color w:val="000000"/>
              </w:rPr>
              <w:t>32.349</w:t>
            </w:r>
          </w:p>
        </w:tc>
        <w:tc>
          <w:tcPr>
            <w:tcW w:w="0" w:type="auto"/>
            <w:vAlign w:val="center"/>
          </w:tcPr>
          <w:p w:rsidR="003608CE" w:rsidRPr="00940642" w:rsidRDefault="003608CE" w:rsidP="00FB01D0">
            <w:pPr>
              <w:tabs>
                <w:tab w:val="left" w:pos="917"/>
              </w:tabs>
              <w:ind w:right="106"/>
              <w:jc w:val="right"/>
              <w:rPr>
                <w:rFonts w:cs="Arial"/>
                <w:color w:val="000000"/>
              </w:rPr>
            </w:pPr>
            <w:r w:rsidRPr="00940642">
              <w:rPr>
                <w:rFonts w:cs="Arial"/>
                <w:color w:val="000000"/>
              </w:rPr>
              <w:t>3</w:t>
            </w:r>
            <w:r w:rsidR="00FB01D0" w:rsidRPr="00940642">
              <w:rPr>
                <w:rFonts w:cs="Arial"/>
                <w:color w:val="000000"/>
              </w:rPr>
              <w:t>2.349</w:t>
            </w:r>
          </w:p>
        </w:tc>
        <w:tc>
          <w:tcPr>
            <w:tcW w:w="0" w:type="auto"/>
            <w:vAlign w:val="center"/>
          </w:tcPr>
          <w:p w:rsidR="003608CE" w:rsidRPr="00940642" w:rsidRDefault="003608CE" w:rsidP="004F6DD0">
            <w:pPr>
              <w:pStyle w:val="Body1"/>
              <w:ind w:right="113"/>
              <w:jc w:val="right"/>
              <w:outlineLvl w:val="9"/>
              <w:rPr>
                <w:rFonts w:cs="Arial"/>
                <w:sz w:val="22"/>
                <w:szCs w:val="22"/>
              </w:rPr>
            </w:pPr>
            <w:r w:rsidRPr="00940642">
              <w:rPr>
                <w:rFonts w:cs="Arial"/>
                <w:sz w:val="22"/>
                <w:szCs w:val="22"/>
              </w:rPr>
              <w:t>-</w:t>
            </w:r>
          </w:p>
        </w:tc>
        <w:tc>
          <w:tcPr>
            <w:tcW w:w="0" w:type="auto"/>
            <w:vAlign w:val="center"/>
          </w:tcPr>
          <w:p w:rsidR="003608CE" w:rsidRPr="00940642" w:rsidRDefault="003608CE" w:rsidP="004F6DD0">
            <w:pPr>
              <w:pStyle w:val="Body1"/>
              <w:ind w:right="113"/>
              <w:jc w:val="right"/>
              <w:outlineLvl w:val="9"/>
              <w:rPr>
                <w:rFonts w:cs="Arial"/>
                <w:sz w:val="22"/>
                <w:szCs w:val="22"/>
              </w:rPr>
            </w:pPr>
            <w:r w:rsidRPr="00940642">
              <w:rPr>
                <w:rFonts w:cs="Arial"/>
                <w:sz w:val="22"/>
                <w:szCs w:val="22"/>
              </w:rPr>
              <w:t>-</w:t>
            </w:r>
          </w:p>
        </w:tc>
      </w:tr>
      <w:tr w:rsidR="003407E4" w:rsidRPr="00102BA5" w:rsidTr="004F6DD0">
        <w:trPr>
          <w:trHeight w:val="419"/>
        </w:trPr>
        <w:tc>
          <w:tcPr>
            <w:tcW w:w="0" w:type="auto"/>
            <w:shd w:val="clear" w:color="auto" w:fill="D9D9D9" w:themeFill="background1" w:themeFillShade="D9"/>
            <w:vAlign w:val="center"/>
          </w:tcPr>
          <w:p w:rsidR="003608CE" w:rsidRPr="00366162" w:rsidRDefault="003608CE" w:rsidP="009B3D43">
            <w:pPr>
              <w:pStyle w:val="Body1"/>
              <w:ind w:left="57"/>
              <w:jc w:val="both"/>
              <w:outlineLvl w:val="9"/>
              <w:rPr>
                <w:rFonts w:cs="Arial"/>
                <w:b/>
                <w:sz w:val="22"/>
                <w:szCs w:val="22"/>
              </w:rPr>
            </w:pPr>
            <w:r w:rsidRPr="00366162">
              <w:rPr>
                <w:rFonts w:cs="Arial"/>
                <w:b/>
                <w:sz w:val="22"/>
                <w:szCs w:val="22"/>
              </w:rPr>
              <w:t>Budget Requirement</w:t>
            </w:r>
          </w:p>
        </w:tc>
        <w:tc>
          <w:tcPr>
            <w:tcW w:w="0" w:type="auto"/>
            <w:shd w:val="clear" w:color="auto" w:fill="D9D9D9" w:themeFill="background1" w:themeFillShade="D9"/>
            <w:vAlign w:val="center"/>
          </w:tcPr>
          <w:p w:rsidR="003608CE" w:rsidRPr="00366162" w:rsidRDefault="00CF2564" w:rsidP="004F6DD0">
            <w:pPr>
              <w:ind w:right="113"/>
              <w:jc w:val="right"/>
              <w:rPr>
                <w:rFonts w:cs="Arial"/>
                <w:b/>
                <w:color w:val="000000"/>
              </w:rPr>
            </w:pPr>
            <w:r>
              <w:rPr>
                <w:rFonts w:cs="Arial"/>
                <w:b/>
                <w:color w:val="000000"/>
              </w:rPr>
              <w:fldChar w:fldCharType="begin"/>
            </w:r>
            <w:r w:rsidR="00BA45C9">
              <w:rPr>
                <w:rFonts w:cs="Arial"/>
                <w:b/>
                <w:color w:val="000000"/>
              </w:rPr>
              <w:instrText xml:space="preserve"> =SUM(ABOVE) </w:instrText>
            </w:r>
            <w:r>
              <w:rPr>
                <w:rFonts w:cs="Arial"/>
                <w:b/>
                <w:color w:val="000000"/>
              </w:rPr>
              <w:fldChar w:fldCharType="separate"/>
            </w:r>
            <w:r w:rsidR="00BA45C9">
              <w:rPr>
                <w:rFonts w:cs="Arial"/>
                <w:b/>
                <w:noProof/>
                <w:color w:val="000000"/>
              </w:rPr>
              <w:t>776.343</w:t>
            </w:r>
            <w:r>
              <w:rPr>
                <w:rFonts w:cs="Arial"/>
                <w:b/>
                <w:color w:val="000000"/>
              </w:rPr>
              <w:fldChar w:fldCharType="end"/>
            </w:r>
          </w:p>
        </w:tc>
        <w:tc>
          <w:tcPr>
            <w:tcW w:w="0" w:type="auto"/>
            <w:shd w:val="clear" w:color="auto" w:fill="D9D9D9" w:themeFill="background1" w:themeFillShade="D9"/>
            <w:vAlign w:val="center"/>
          </w:tcPr>
          <w:p w:rsidR="003608CE" w:rsidRPr="00940642" w:rsidRDefault="00CF2564" w:rsidP="00F678A7">
            <w:pPr>
              <w:tabs>
                <w:tab w:val="left" w:pos="917"/>
              </w:tabs>
              <w:ind w:right="106"/>
              <w:jc w:val="right"/>
              <w:rPr>
                <w:rFonts w:cs="Arial"/>
                <w:b/>
                <w:color w:val="000000"/>
              </w:rPr>
            </w:pPr>
            <w:r>
              <w:rPr>
                <w:rFonts w:cs="Arial"/>
                <w:b/>
                <w:color w:val="000000"/>
              </w:rPr>
              <w:fldChar w:fldCharType="begin"/>
            </w:r>
            <w:r w:rsidR="00CC341E">
              <w:rPr>
                <w:rFonts w:cs="Arial"/>
                <w:b/>
                <w:color w:val="000000"/>
              </w:rPr>
              <w:instrText xml:space="preserve"> =SUM(ABOVE) </w:instrText>
            </w:r>
            <w:r>
              <w:rPr>
                <w:rFonts w:cs="Arial"/>
                <w:b/>
                <w:color w:val="000000"/>
              </w:rPr>
              <w:fldChar w:fldCharType="separate"/>
            </w:r>
            <w:r w:rsidR="00CC341E">
              <w:rPr>
                <w:rFonts w:cs="Arial"/>
                <w:b/>
                <w:noProof/>
                <w:color w:val="000000"/>
              </w:rPr>
              <w:t>778.751</w:t>
            </w:r>
            <w:r>
              <w:rPr>
                <w:rFonts w:cs="Arial"/>
                <w:b/>
                <w:color w:val="000000"/>
              </w:rPr>
              <w:fldChar w:fldCharType="end"/>
            </w:r>
          </w:p>
        </w:tc>
        <w:tc>
          <w:tcPr>
            <w:tcW w:w="0" w:type="auto"/>
            <w:shd w:val="clear" w:color="auto" w:fill="D9D9D9" w:themeFill="background1" w:themeFillShade="D9"/>
            <w:vAlign w:val="center"/>
          </w:tcPr>
          <w:p w:rsidR="003608CE" w:rsidRPr="00940642" w:rsidRDefault="00BA45C9" w:rsidP="004F6DD0">
            <w:pPr>
              <w:pStyle w:val="Body1"/>
              <w:ind w:right="113"/>
              <w:jc w:val="right"/>
              <w:outlineLvl w:val="9"/>
              <w:rPr>
                <w:rFonts w:cs="Arial"/>
                <w:b/>
                <w:sz w:val="22"/>
                <w:szCs w:val="22"/>
              </w:rPr>
            </w:pPr>
            <w:r>
              <w:rPr>
                <w:rFonts w:cs="Arial"/>
                <w:b/>
                <w:sz w:val="22"/>
                <w:szCs w:val="22"/>
              </w:rPr>
              <w:t>2.40</w:t>
            </w:r>
            <w:r w:rsidR="00940642" w:rsidRPr="00940642">
              <w:rPr>
                <w:rFonts w:cs="Arial"/>
                <w:b/>
                <w:sz w:val="22"/>
                <w:szCs w:val="22"/>
              </w:rPr>
              <w:t>9</w:t>
            </w:r>
          </w:p>
        </w:tc>
        <w:tc>
          <w:tcPr>
            <w:tcW w:w="0" w:type="auto"/>
            <w:shd w:val="clear" w:color="auto" w:fill="D9D9D9" w:themeFill="background1" w:themeFillShade="D9"/>
            <w:vAlign w:val="center"/>
          </w:tcPr>
          <w:p w:rsidR="003608CE" w:rsidRPr="00940642" w:rsidRDefault="003608CE" w:rsidP="004F6DD0">
            <w:pPr>
              <w:pStyle w:val="Body1"/>
              <w:ind w:right="113"/>
              <w:jc w:val="right"/>
              <w:outlineLvl w:val="9"/>
              <w:rPr>
                <w:rFonts w:cs="Arial"/>
                <w:b/>
                <w:sz w:val="22"/>
                <w:szCs w:val="22"/>
              </w:rPr>
            </w:pPr>
            <w:r w:rsidRPr="00940642">
              <w:rPr>
                <w:rFonts w:cs="Arial"/>
                <w:b/>
                <w:sz w:val="22"/>
                <w:szCs w:val="22"/>
              </w:rPr>
              <w:t>0.</w:t>
            </w:r>
            <w:r w:rsidR="00940642" w:rsidRPr="00940642">
              <w:rPr>
                <w:rFonts w:cs="Arial"/>
                <w:b/>
                <w:sz w:val="22"/>
                <w:szCs w:val="22"/>
              </w:rPr>
              <w:t>3</w:t>
            </w:r>
          </w:p>
        </w:tc>
      </w:tr>
    </w:tbl>
    <w:p w:rsidR="000D4E1E" w:rsidRPr="00102BA5" w:rsidRDefault="000D4E1E" w:rsidP="009B3D43">
      <w:pPr>
        <w:pStyle w:val="Heading2"/>
        <w:spacing w:before="0" w:line="240" w:lineRule="auto"/>
        <w:jc w:val="both"/>
        <w:rPr>
          <w:highlight w:val="yellow"/>
        </w:rPr>
      </w:pPr>
    </w:p>
    <w:p w:rsidR="00B151BE" w:rsidRPr="00CC341E" w:rsidRDefault="00B151BE" w:rsidP="009B3D43">
      <w:pPr>
        <w:jc w:val="both"/>
        <w:rPr>
          <w:szCs w:val="24"/>
        </w:rPr>
      </w:pPr>
      <w:r w:rsidRPr="00CC341E">
        <w:rPr>
          <w:szCs w:val="24"/>
        </w:rPr>
        <w:t xml:space="preserve">The key issues </w:t>
      </w:r>
      <w:r w:rsidR="00276386" w:rsidRPr="00CC341E">
        <w:rPr>
          <w:szCs w:val="24"/>
        </w:rPr>
        <w:t xml:space="preserve">emerging are </w:t>
      </w:r>
      <w:r w:rsidRPr="00CC341E">
        <w:rPr>
          <w:szCs w:val="24"/>
        </w:rPr>
        <w:t>as follows</w:t>
      </w:r>
      <w:r w:rsidR="001559F7" w:rsidRPr="00CC341E">
        <w:rPr>
          <w:szCs w:val="24"/>
        </w:rPr>
        <w:t>:</w:t>
      </w:r>
    </w:p>
    <w:p w:rsidR="00BF1870" w:rsidRPr="00250FD5" w:rsidRDefault="009B3D43" w:rsidP="009B3D43">
      <w:pPr>
        <w:ind w:hanging="567"/>
        <w:jc w:val="both"/>
        <w:rPr>
          <w:b/>
        </w:rPr>
      </w:pPr>
      <w:r w:rsidRPr="000A695D">
        <w:rPr>
          <w:b/>
        </w:rPr>
        <w:t xml:space="preserve">3.2 </w:t>
      </w:r>
      <w:r w:rsidRPr="000A695D">
        <w:rPr>
          <w:b/>
        </w:rPr>
        <w:tab/>
      </w:r>
      <w:r w:rsidR="002347AC" w:rsidRPr="00250FD5">
        <w:rPr>
          <w:b/>
        </w:rPr>
        <w:t xml:space="preserve">Adult </w:t>
      </w:r>
      <w:r w:rsidR="003E75EA" w:rsidRPr="00250FD5">
        <w:rPr>
          <w:rFonts w:cs="Arial"/>
          <w:b/>
          <w:szCs w:val="24"/>
        </w:rPr>
        <w:t>Services, Health and Wellbeing Directorate</w:t>
      </w:r>
    </w:p>
    <w:p w:rsidR="0085368B" w:rsidRDefault="00ED7BC1" w:rsidP="008066A5">
      <w:pPr>
        <w:pStyle w:val="NoSpacing"/>
        <w:jc w:val="both"/>
      </w:pPr>
      <w:r w:rsidRPr="00ED7BC1">
        <w:t xml:space="preserve">The directorate is forecasting an </w:t>
      </w:r>
      <w:r>
        <w:t xml:space="preserve">overspend of £1.3m which </w:t>
      </w:r>
      <w:r w:rsidR="00B022EF">
        <w:t>is unchanged</w:t>
      </w:r>
      <w:r>
        <w:t xml:space="preserve"> since the position last reported to </w:t>
      </w:r>
      <w:r w:rsidR="000A695D">
        <w:t>C</w:t>
      </w:r>
      <w:r>
        <w:t>abinet.</w:t>
      </w:r>
    </w:p>
    <w:p w:rsidR="00ED7BC1" w:rsidRDefault="00ED7BC1" w:rsidP="008066A5">
      <w:pPr>
        <w:pStyle w:val="NoSpacing"/>
        <w:jc w:val="both"/>
      </w:pPr>
    </w:p>
    <w:p w:rsidR="00E94B3A" w:rsidRDefault="00E94B3A" w:rsidP="008066A5">
      <w:pPr>
        <w:pStyle w:val="NoSpacing"/>
        <w:jc w:val="both"/>
      </w:pPr>
    </w:p>
    <w:p w:rsidR="00E94B3A" w:rsidRDefault="00E94B3A" w:rsidP="008066A5">
      <w:pPr>
        <w:pStyle w:val="NoSpacing"/>
        <w:jc w:val="both"/>
      </w:pPr>
    </w:p>
    <w:p w:rsidR="00E94B3A" w:rsidRDefault="00E94B3A" w:rsidP="008066A5">
      <w:pPr>
        <w:pStyle w:val="NoSpacing"/>
        <w:jc w:val="both"/>
      </w:pPr>
    </w:p>
    <w:p w:rsidR="00E94B3A" w:rsidRDefault="00E94B3A" w:rsidP="008066A5">
      <w:pPr>
        <w:pStyle w:val="NoSpacing"/>
        <w:jc w:val="both"/>
      </w:pPr>
    </w:p>
    <w:p w:rsidR="00E94B3A" w:rsidRDefault="00E94B3A" w:rsidP="008066A5">
      <w:pPr>
        <w:pStyle w:val="NoSpacing"/>
        <w:jc w:val="both"/>
      </w:pPr>
    </w:p>
    <w:p w:rsidR="00ED7BC1" w:rsidRPr="00ED7BC1" w:rsidRDefault="00ED7BC1" w:rsidP="008066A5">
      <w:pPr>
        <w:pStyle w:val="NoSpacing"/>
        <w:jc w:val="both"/>
      </w:pPr>
      <w:r>
        <w:t>The main factors affecting the forecast position are:</w:t>
      </w:r>
    </w:p>
    <w:p w:rsidR="0085368B" w:rsidRPr="00102BA5" w:rsidRDefault="0085368B" w:rsidP="008066A5">
      <w:pPr>
        <w:pStyle w:val="NoSpacing"/>
        <w:jc w:val="both"/>
        <w:rPr>
          <w:highlight w:val="yellow"/>
          <w:u w:val="single"/>
        </w:rPr>
      </w:pPr>
    </w:p>
    <w:p w:rsidR="00BF1870" w:rsidRPr="00250FD5" w:rsidRDefault="00BF1870" w:rsidP="008066A5">
      <w:pPr>
        <w:pStyle w:val="NoSpacing"/>
        <w:jc w:val="both"/>
        <w:rPr>
          <w:i/>
        </w:rPr>
      </w:pPr>
      <w:r w:rsidRPr="00250FD5">
        <w:rPr>
          <w:i/>
        </w:rPr>
        <w:t>Personal Social Care and Mental Health Services</w:t>
      </w:r>
    </w:p>
    <w:p w:rsidR="002E137C" w:rsidRPr="00102BA5" w:rsidRDefault="002E137C" w:rsidP="008066A5">
      <w:pPr>
        <w:pStyle w:val="NoSpacing"/>
        <w:jc w:val="both"/>
        <w:rPr>
          <w:highlight w:val="yellow"/>
          <w:u w:val="single"/>
        </w:rPr>
      </w:pPr>
    </w:p>
    <w:p w:rsidR="002E137C" w:rsidRPr="00102BA5" w:rsidRDefault="00ED7BC1" w:rsidP="000738F4">
      <w:pPr>
        <w:jc w:val="both"/>
        <w:rPr>
          <w:highlight w:val="yellow"/>
          <w:u w:val="single"/>
        </w:rPr>
      </w:pPr>
      <w:r>
        <w:lastRenderedPageBreak/>
        <w:t>There remain significant pressures in respect of</w:t>
      </w:r>
      <w:r w:rsidR="00250FD5">
        <w:t xml:space="preserve"> Physical Disability and Learning Disability Services with estimated overspends of £3.6m and £1.2m respectively. The pressures are a result of a growth in demand, both in terms of the overall number of service users supported, which have increased over the year to date, but also the increasing complexity of individuals now being supported which is reflected in increasing average care package costs in these areas.  The overspends are, in part, offset by a predicted underspend of £0.9m on Older People services, largely as a result of actively reducing the number of new admissions to residential care</w:t>
      </w:r>
      <w:r w:rsidR="00F02674">
        <w:t>.</w:t>
      </w:r>
    </w:p>
    <w:p w:rsidR="00250FD5" w:rsidRPr="00250FD5" w:rsidRDefault="00250FD5" w:rsidP="000738F4">
      <w:pPr>
        <w:spacing w:after="0" w:line="240" w:lineRule="auto"/>
        <w:jc w:val="both"/>
      </w:pPr>
      <w:r w:rsidRPr="00250FD5">
        <w:t>The forecast £3.6m overspend on Physical Disabilities is of</w:t>
      </w:r>
      <w:r w:rsidR="00B10CB7">
        <w:t xml:space="preserve"> most concern as it represents some </w:t>
      </w:r>
      <w:r w:rsidRPr="00250FD5">
        <w:t>13% of the budget for this area and is primarily the result of a forecast overspend on direct payments</w:t>
      </w:r>
      <w:r w:rsidR="00213505">
        <w:t xml:space="preserve">. There has been </w:t>
      </w:r>
      <w:r w:rsidRPr="00250FD5">
        <w:t>a</w:t>
      </w:r>
      <w:r w:rsidR="00B10CB7">
        <w:t xml:space="preserve">n </w:t>
      </w:r>
      <w:r w:rsidRPr="00250FD5">
        <w:t xml:space="preserve">increase in cost </w:t>
      </w:r>
      <w:r w:rsidR="00213505">
        <w:t xml:space="preserve">of direct payments </w:t>
      </w:r>
      <w:r w:rsidR="00B10CB7">
        <w:t xml:space="preserve">in the region of 7% </w:t>
      </w:r>
      <w:r w:rsidRPr="00250FD5">
        <w:t>over the year to date</w:t>
      </w:r>
      <w:r w:rsidR="00B10CB7">
        <w:t>.</w:t>
      </w:r>
      <w:r w:rsidRPr="00250FD5">
        <w:t xml:space="preserve"> </w:t>
      </w:r>
      <w:r w:rsidR="00B10CB7">
        <w:t xml:space="preserve">This </w:t>
      </w:r>
      <w:r w:rsidRPr="00250FD5">
        <w:t>reflect</w:t>
      </w:r>
      <w:r w:rsidR="00B10CB7">
        <w:t>s</w:t>
      </w:r>
      <w:r w:rsidRPr="00250FD5">
        <w:t xml:space="preserve"> a combination of increasing numbers of individuals supported and an increase in the average costs.  The increase is significantly above the level of increase expected through standard demographic indicators</w:t>
      </w:r>
      <w:r w:rsidR="00B10CB7">
        <w:t>. In addition there is increased pressure on the</w:t>
      </w:r>
      <w:r w:rsidRPr="00250FD5">
        <w:t xml:space="preserve"> domiciliary care </w:t>
      </w:r>
      <w:r w:rsidR="00B10CB7">
        <w:t>budget</w:t>
      </w:r>
      <w:r w:rsidRPr="00250FD5">
        <w:t xml:space="preserve"> with individuals transferring from commissioned domiciliary care to direct payments</w:t>
      </w:r>
      <w:r w:rsidR="00B10CB7">
        <w:t xml:space="preserve"> with</w:t>
      </w:r>
      <w:r w:rsidRPr="00250FD5">
        <w:t xml:space="preserve"> numbers</w:t>
      </w:r>
      <w:r w:rsidR="00B10CB7">
        <w:t xml:space="preserve"> of cases</w:t>
      </w:r>
      <w:r w:rsidRPr="00250FD5">
        <w:t xml:space="preserve"> and average costs increasing in the year to date. The overspend</w:t>
      </w:r>
      <w:r w:rsidR="00AD08A2" w:rsidRPr="00AD08A2">
        <w:t xml:space="preserve"> </w:t>
      </w:r>
      <w:r w:rsidR="00AD08A2">
        <w:t xml:space="preserve">has been subject to a </w:t>
      </w:r>
      <w:r w:rsidR="00AD08A2" w:rsidRPr="00250FD5">
        <w:t xml:space="preserve">review </w:t>
      </w:r>
      <w:r w:rsidR="00AD08A2">
        <w:t xml:space="preserve">to fully understand the causes and </w:t>
      </w:r>
      <w:r w:rsidR="004A7CF4">
        <w:t xml:space="preserve">plans </w:t>
      </w:r>
      <w:r w:rsidR="00213505">
        <w:t xml:space="preserve">are </w:t>
      </w:r>
      <w:r w:rsidR="00AD08A2">
        <w:t xml:space="preserve"> in place to </w:t>
      </w:r>
      <w:r w:rsidR="004F1600">
        <w:t xml:space="preserve">take short and medium term corrective action to </w:t>
      </w:r>
      <w:r w:rsidR="00AD08A2">
        <w:t>reduce the financial impact in the current and future years</w:t>
      </w:r>
      <w:r w:rsidRPr="00250FD5">
        <w:t xml:space="preserve">. </w:t>
      </w:r>
    </w:p>
    <w:p w:rsidR="00250FD5" w:rsidRPr="00250FD5" w:rsidRDefault="00250FD5" w:rsidP="000738F4">
      <w:pPr>
        <w:spacing w:after="0" w:line="240" w:lineRule="auto"/>
        <w:jc w:val="both"/>
      </w:pPr>
    </w:p>
    <w:p w:rsidR="00250FD5" w:rsidRPr="00250FD5" w:rsidRDefault="00250FD5" w:rsidP="000738F4">
      <w:pPr>
        <w:spacing w:after="0" w:line="240" w:lineRule="auto"/>
        <w:jc w:val="both"/>
        <w:rPr>
          <w:highlight w:val="yellow"/>
        </w:rPr>
      </w:pPr>
      <w:r w:rsidRPr="00250FD5">
        <w:t>The pressure result</w:t>
      </w:r>
      <w:r w:rsidR="00B10CB7">
        <w:t>ing</w:t>
      </w:r>
      <w:r w:rsidRPr="00250FD5">
        <w:t xml:space="preserve"> from the increasing numbers and complexity of Learning Disability service users and increased demand for residential care within Mental Health Services </w:t>
      </w:r>
      <w:r w:rsidR="00B10CB7">
        <w:t>continues be a significant issue</w:t>
      </w:r>
      <w:r w:rsidRPr="00250FD5">
        <w:t xml:space="preserve">. Whilst the impact of budget growth allocated to meet demographic increases and budgets being re-aligned across services has reduced the in-year pressure in both those areas, the forecast over spend on learning disability services is exacerbated by the further net additional cost of Ordinary Residence changes and implementation of the Winterbourne Concordat whereby all current NHS and Joint funded hospital placements had to be reviewed by 1 June 2013 with plans to be put in place to move anyone who is inappropriately in hospital to community-based support, funded, at least in part, by LCC as quickly as possible, and no later than 1 June 2014.  </w:t>
      </w:r>
      <w:r w:rsidR="00AD08A2">
        <w:t>These areas will be subject to detailed review during 2014/15</w:t>
      </w:r>
      <w:r w:rsidR="00213505">
        <w:t>, and are an area of risk within t</w:t>
      </w:r>
      <w:r w:rsidR="00AD6B3D">
        <w:t>he 2014/15 budget</w:t>
      </w:r>
      <w:r w:rsidR="00AD08A2">
        <w:t xml:space="preserve">.   </w:t>
      </w:r>
    </w:p>
    <w:p w:rsidR="00250FD5" w:rsidRPr="00250FD5" w:rsidRDefault="00250FD5" w:rsidP="000738F4">
      <w:pPr>
        <w:spacing w:after="0" w:line="240" w:lineRule="auto"/>
        <w:jc w:val="both"/>
        <w:rPr>
          <w:highlight w:val="yellow"/>
        </w:rPr>
      </w:pPr>
    </w:p>
    <w:p w:rsidR="00250FD5" w:rsidRPr="00250FD5" w:rsidRDefault="00250FD5" w:rsidP="000738F4">
      <w:pPr>
        <w:spacing w:after="0" w:line="240" w:lineRule="auto"/>
        <w:jc w:val="both"/>
      </w:pPr>
      <w:r w:rsidRPr="00250FD5">
        <w:t xml:space="preserve">Review activity continues to be focused on mitigating the impact of demographic growth across all demand led service areas with the reablement service being expanded and starting to deliver additional savings in line with the current financial strategy.  A dedicated review team is in place for Learning Disability services relating to the planned re-modelling work of supported living services and is </w:t>
      </w:r>
      <w:proofErr w:type="gramStart"/>
      <w:r w:rsidRPr="00250FD5">
        <w:t>delivering  efficiency</w:t>
      </w:r>
      <w:proofErr w:type="gramEnd"/>
      <w:r w:rsidRPr="00250FD5">
        <w:t xml:space="preserve"> savings as is the shared lives service which continues to expand and deliver net savings in the cost of support</w:t>
      </w:r>
      <w:r w:rsidR="00AD08A2">
        <w:t>, which is helping to offset some of the overspend identified above  on Physical and Learning disability services</w:t>
      </w:r>
      <w:r w:rsidRPr="00250FD5">
        <w:t xml:space="preserve">.    </w:t>
      </w:r>
    </w:p>
    <w:p w:rsidR="00250FD5" w:rsidRPr="00250FD5" w:rsidRDefault="00250FD5" w:rsidP="000738F4">
      <w:pPr>
        <w:spacing w:after="0" w:line="240" w:lineRule="auto"/>
        <w:jc w:val="both"/>
      </w:pPr>
    </w:p>
    <w:p w:rsidR="00250FD5" w:rsidRPr="00250FD5" w:rsidRDefault="00250FD5" w:rsidP="000738F4">
      <w:pPr>
        <w:spacing w:after="0" w:line="240" w:lineRule="auto"/>
        <w:jc w:val="both"/>
        <w:rPr>
          <w:highlight w:val="yellow"/>
        </w:rPr>
      </w:pPr>
      <w:r w:rsidRPr="00250FD5">
        <w:t xml:space="preserve">In addition, the planned reduction in the number of social workers and </w:t>
      </w:r>
      <w:r w:rsidR="00E94B3A">
        <w:t>review, Assessment and Support Officers (</w:t>
      </w:r>
      <w:r w:rsidRPr="00250FD5">
        <w:t>RASO's</w:t>
      </w:r>
      <w:r w:rsidR="00E94B3A">
        <w:t>)</w:t>
      </w:r>
      <w:r w:rsidRPr="00250FD5">
        <w:t xml:space="preserve"> is heavily dependent on a number of other actions expected to reduce worklo</w:t>
      </w:r>
      <w:r w:rsidR="00E94B3A">
        <w:t xml:space="preserve">ads and increase productivity. </w:t>
      </w:r>
      <w:r w:rsidRPr="00250FD5">
        <w:t xml:space="preserve">Some of these, including the implementation of the FACE assessment and resource allocation system and replacement for </w:t>
      </w:r>
      <w:r w:rsidR="00E94B3A">
        <w:t>the Integrated Social Services Information System (</w:t>
      </w:r>
      <w:r w:rsidRPr="00250FD5">
        <w:t>ISSIS</w:t>
      </w:r>
      <w:r w:rsidR="00E94B3A">
        <w:t>)</w:t>
      </w:r>
      <w:r w:rsidRPr="00250FD5">
        <w:t xml:space="preserve"> have been delayed and therefore it is unlikely that the budgeted savings will be achieved in full by the end of 2013/14. The net impact is forecast overspend on this area of around £1m</w:t>
      </w:r>
      <w:r w:rsidR="00AD08A2">
        <w:t xml:space="preserve"> in 2013/14 with the saving now planned to be delivered in 2014/15</w:t>
      </w:r>
      <w:r w:rsidRPr="00250FD5">
        <w:t>.</w:t>
      </w:r>
    </w:p>
    <w:p w:rsidR="00250FD5" w:rsidRPr="00250FD5" w:rsidRDefault="00250FD5" w:rsidP="00250FD5">
      <w:pPr>
        <w:spacing w:after="0" w:line="240" w:lineRule="auto"/>
        <w:rPr>
          <w:highlight w:val="yellow"/>
        </w:rPr>
      </w:pPr>
    </w:p>
    <w:p w:rsidR="00250FD5" w:rsidRPr="00B10CB7" w:rsidRDefault="00250FD5" w:rsidP="00250FD5">
      <w:pPr>
        <w:spacing w:after="0" w:line="240" w:lineRule="auto"/>
        <w:rPr>
          <w:i/>
        </w:rPr>
      </w:pPr>
      <w:r w:rsidRPr="00B10CB7">
        <w:rPr>
          <w:i/>
        </w:rPr>
        <w:t xml:space="preserve">Commissioning </w:t>
      </w:r>
      <w:r w:rsidR="00E94B3A">
        <w:rPr>
          <w:i/>
        </w:rPr>
        <w:t>and</w:t>
      </w:r>
      <w:r w:rsidRPr="00B10CB7">
        <w:rPr>
          <w:i/>
        </w:rPr>
        <w:t xml:space="preserve"> Resources</w:t>
      </w:r>
    </w:p>
    <w:p w:rsidR="00250FD5" w:rsidRPr="00250FD5" w:rsidRDefault="00250FD5" w:rsidP="00250FD5">
      <w:pPr>
        <w:spacing w:after="0" w:line="240" w:lineRule="auto"/>
        <w:rPr>
          <w:highlight w:val="yellow"/>
        </w:rPr>
      </w:pPr>
    </w:p>
    <w:p w:rsidR="00250FD5" w:rsidRPr="00250FD5" w:rsidRDefault="00250FD5" w:rsidP="000738F4">
      <w:pPr>
        <w:spacing w:after="0" w:line="240" w:lineRule="auto"/>
        <w:jc w:val="both"/>
      </w:pPr>
      <w:r w:rsidRPr="00250FD5">
        <w:t xml:space="preserve">These services are forecast to under spend by £2.9m, largely due to savings forecast to be achieved across a number of previously grant-funded or non-statutory areas of service through a combination of service reviews and </w:t>
      </w:r>
      <w:r w:rsidR="009E180D">
        <w:t xml:space="preserve">identified </w:t>
      </w:r>
      <w:r w:rsidRPr="00250FD5">
        <w:t xml:space="preserve">scope for planned under spending to </w:t>
      </w:r>
      <w:r w:rsidR="009E180D">
        <w:t xml:space="preserve">manage the Directorate's overall budget position given the significant pressure </w:t>
      </w:r>
      <w:r w:rsidRPr="00250FD5">
        <w:t xml:space="preserve"> on the demand led budget areas.  </w:t>
      </w:r>
    </w:p>
    <w:p w:rsidR="00250FD5" w:rsidRPr="00250FD5" w:rsidRDefault="00250FD5" w:rsidP="000738F4">
      <w:pPr>
        <w:spacing w:after="0" w:line="240" w:lineRule="auto"/>
        <w:jc w:val="both"/>
      </w:pPr>
    </w:p>
    <w:p w:rsidR="00250FD5" w:rsidRPr="00250FD5" w:rsidRDefault="00250FD5" w:rsidP="000738F4">
      <w:pPr>
        <w:spacing w:after="0" w:line="240" w:lineRule="auto"/>
        <w:jc w:val="both"/>
        <w:rPr>
          <w:highlight w:val="yellow"/>
        </w:rPr>
      </w:pPr>
      <w:r w:rsidRPr="00250FD5">
        <w:t xml:space="preserve">All the services delivered or commissioned by the Directorate have been critically reviewed earlier in the year and this and has provided a basis for identifying areas for additional savings and also focusing activity on those areas which have the biggest influence on reducing the impact of increasing demand going forward to ensure that the directorate is well placed to respond to future financial challenges. </w:t>
      </w:r>
    </w:p>
    <w:p w:rsidR="00250FD5" w:rsidRPr="00250FD5" w:rsidRDefault="00250FD5" w:rsidP="00250FD5">
      <w:pPr>
        <w:spacing w:after="0" w:line="240" w:lineRule="auto"/>
        <w:rPr>
          <w:highlight w:val="yellow"/>
        </w:rPr>
      </w:pPr>
    </w:p>
    <w:p w:rsidR="00250FD5" w:rsidRPr="00250FD5" w:rsidRDefault="00250FD5" w:rsidP="00250FD5">
      <w:pPr>
        <w:spacing w:after="0" w:line="240" w:lineRule="auto"/>
        <w:rPr>
          <w:u w:val="single"/>
        </w:rPr>
      </w:pPr>
      <w:r w:rsidRPr="00250FD5">
        <w:rPr>
          <w:u w:val="single"/>
        </w:rPr>
        <w:t>Public Health</w:t>
      </w:r>
    </w:p>
    <w:p w:rsidR="00250FD5" w:rsidRPr="00250FD5" w:rsidRDefault="00250FD5" w:rsidP="00250FD5">
      <w:pPr>
        <w:spacing w:after="0" w:line="240" w:lineRule="auto"/>
        <w:rPr>
          <w:highlight w:val="yellow"/>
        </w:rPr>
      </w:pPr>
    </w:p>
    <w:p w:rsidR="00250FD5" w:rsidRPr="00250FD5" w:rsidRDefault="00250FD5" w:rsidP="000738F4">
      <w:pPr>
        <w:spacing w:after="0" w:line="240" w:lineRule="auto"/>
        <w:jc w:val="both"/>
        <w:rPr>
          <w:rFonts w:eastAsia="Times New Roman" w:cs="Arial"/>
          <w:color w:val="000000"/>
          <w:szCs w:val="24"/>
          <w:lang w:eastAsia="en-GB"/>
        </w:rPr>
      </w:pPr>
      <w:r w:rsidRPr="00250FD5">
        <w:rPr>
          <w:rFonts w:eastAsia="Times New Roman" w:cs="Arial"/>
          <w:color w:val="000000"/>
          <w:szCs w:val="24"/>
          <w:lang w:eastAsia="en-GB"/>
        </w:rPr>
        <w:t>Whilst the overall Public Health position is forecast as being in line with budget, there is expected to be an underspend against the Public Health grant in the region of £3m. As per the requirements of the grant, this underspend will be carried over to the next financial year as part of a ring</w:t>
      </w:r>
      <w:r w:rsidR="000738F4">
        <w:rPr>
          <w:rFonts w:eastAsia="Times New Roman" w:cs="Arial"/>
          <w:color w:val="000000"/>
          <w:szCs w:val="24"/>
          <w:lang w:eastAsia="en-GB"/>
        </w:rPr>
        <w:t xml:space="preserve">-fenced public health reserve. </w:t>
      </w:r>
      <w:r w:rsidRPr="00250FD5">
        <w:rPr>
          <w:rFonts w:eastAsia="Times New Roman" w:cs="Arial"/>
          <w:color w:val="000000"/>
          <w:szCs w:val="24"/>
          <w:lang w:eastAsia="en-GB"/>
        </w:rPr>
        <w:t xml:space="preserve">The same conditions of use that apply to the grant will continue to apply to this reserve. </w:t>
      </w:r>
      <w:r w:rsidR="009E180D">
        <w:rPr>
          <w:rFonts w:eastAsia="Times New Roman" w:cs="Arial"/>
          <w:color w:val="000000"/>
          <w:szCs w:val="24"/>
          <w:lang w:eastAsia="en-GB"/>
        </w:rPr>
        <w:t>However, work remains ongoing to ensure that public health activity undertaken by the Council is appropriately identified and charged to the public health budget.</w:t>
      </w:r>
    </w:p>
    <w:p w:rsidR="00250FD5" w:rsidRPr="00250FD5" w:rsidRDefault="00250FD5" w:rsidP="000738F4">
      <w:pPr>
        <w:spacing w:after="0" w:line="240" w:lineRule="auto"/>
        <w:jc w:val="both"/>
        <w:rPr>
          <w:rFonts w:eastAsia="Times New Roman" w:cs="Arial"/>
          <w:color w:val="000000"/>
          <w:szCs w:val="24"/>
          <w:lang w:eastAsia="en-GB"/>
        </w:rPr>
      </w:pPr>
      <w:r w:rsidRPr="00250FD5">
        <w:rPr>
          <w:rFonts w:eastAsia="Times New Roman" w:cs="Arial"/>
          <w:color w:val="000000"/>
          <w:szCs w:val="24"/>
          <w:lang w:eastAsia="en-GB"/>
        </w:rPr>
        <w:t xml:space="preserve"> </w:t>
      </w:r>
    </w:p>
    <w:p w:rsidR="00250FD5" w:rsidRDefault="00250FD5" w:rsidP="000738F4">
      <w:pPr>
        <w:spacing w:after="0" w:line="240" w:lineRule="auto"/>
        <w:jc w:val="both"/>
        <w:rPr>
          <w:rFonts w:eastAsia="Times New Roman" w:cs="Arial"/>
          <w:color w:val="000000"/>
          <w:szCs w:val="24"/>
          <w:highlight w:val="yellow"/>
          <w:lang w:eastAsia="en-GB"/>
        </w:rPr>
      </w:pPr>
      <w:r w:rsidRPr="00250FD5">
        <w:rPr>
          <w:rFonts w:eastAsia="Times New Roman" w:cs="Arial"/>
          <w:color w:val="000000"/>
          <w:szCs w:val="24"/>
          <w:lang w:eastAsia="en-GB"/>
        </w:rPr>
        <w:t xml:space="preserve">Given the context of Public Health services newly transferring over to the local authority, with services transferring to </w:t>
      </w:r>
      <w:r w:rsidR="009E180D">
        <w:rPr>
          <w:rFonts w:eastAsia="Times New Roman" w:cs="Arial"/>
          <w:color w:val="000000"/>
          <w:szCs w:val="24"/>
          <w:lang w:eastAsia="en-GB"/>
        </w:rPr>
        <w:t>the</w:t>
      </w:r>
      <w:r w:rsidR="009E180D" w:rsidRPr="00250FD5">
        <w:rPr>
          <w:rFonts w:eastAsia="Times New Roman" w:cs="Arial"/>
          <w:color w:val="000000"/>
          <w:szCs w:val="24"/>
          <w:lang w:eastAsia="en-GB"/>
        </w:rPr>
        <w:t xml:space="preserve"> </w:t>
      </w:r>
      <w:r w:rsidRPr="00250FD5">
        <w:rPr>
          <w:rFonts w:eastAsia="Times New Roman" w:cs="Arial"/>
          <w:color w:val="000000"/>
          <w:szCs w:val="24"/>
          <w:lang w:eastAsia="en-GB"/>
        </w:rPr>
        <w:t>County Council from three different PCTs, work is progressing to develop a clear commissioning strategy designed to deliver a county-wide service to meet the overall outcomes required of Public Health. This has led to delays in the commissioning of services resulting in this non recurrent forecast underspend.</w:t>
      </w:r>
      <w:r w:rsidRPr="00250FD5">
        <w:rPr>
          <w:rFonts w:eastAsia="Times New Roman" w:cs="Arial"/>
          <w:color w:val="000000"/>
          <w:szCs w:val="24"/>
          <w:highlight w:val="yellow"/>
          <w:lang w:eastAsia="en-GB"/>
        </w:rPr>
        <w:t xml:space="preserve"> </w:t>
      </w:r>
    </w:p>
    <w:p w:rsidR="000738F4" w:rsidRPr="00250FD5" w:rsidRDefault="000738F4" w:rsidP="000738F4">
      <w:pPr>
        <w:spacing w:after="0" w:line="240" w:lineRule="auto"/>
        <w:jc w:val="both"/>
        <w:rPr>
          <w:rFonts w:eastAsia="Times New Roman" w:cs="Arial"/>
          <w:color w:val="000000"/>
          <w:sz w:val="28"/>
          <w:szCs w:val="28"/>
          <w:highlight w:val="yellow"/>
          <w:lang w:eastAsia="en-GB"/>
        </w:rPr>
      </w:pPr>
    </w:p>
    <w:p w:rsidR="000D4E1E" w:rsidRPr="00B10CB7" w:rsidRDefault="00DF35E4" w:rsidP="00DF35E4">
      <w:pPr>
        <w:ind w:hanging="567"/>
        <w:jc w:val="both"/>
        <w:rPr>
          <w:b/>
        </w:rPr>
      </w:pPr>
      <w:r w:rsidRPr="000A695D">
        <w:rPr>
          <w:b/>
        </w:rPr>
        <w:t>3.3</w:t>
      </w:r>
      <w:r w:rsidRPr="00B10CB7">
        <w:t xml:space="preserve"> </w:t>
      </w:r>
      <w:r w:rsidRPr="00B10CB7">
        <w:tab/>
      </w:r>
      <w:r w:rsidR="002347AC" w:rsidRPr="00B10CB7">
        <w:rPr>
          <w:b/>
        </w:rPr>
        <w:t>Directorate for Children and Young People</w:t>
      </w:r>
    </w:p>
    <w:p w:rsidR="00F02BB4" w:rsidRPr="00F02BB4" w:rsidRDefault="00F02BB4" w:rsidP="00E94B3A">
      <w:pPr>
        <w:jc w:val="both"/>
      </w:pPr>
      <w:r w:rsidRPr="00F02BB4">
        <w:t xml:space="preserve">The Directorate is currently forecasting an over spend of £0.424m against its cash limit compared to </w:t>
      </w:r>
      <w:r>
        <w:t xml:space="preserve">an overspend of </w:t>
      </w:r>
      <w:r w:rsidRPr="00F02BB4">
        <w:t>£4.299m in the last Cabinet monitoring.  A change in forecast position of £3.875m</w:t>
      </w:r>
      <w:r w:rsidR="00E94B3A">
        <w:t>.</w:t>
      </w:r>
    </w:p>
    <w:p w:rsidR="00F02BB4" w:rsidRPr="00F02BB4" w:rsidRDefault="00F02BB4" w:rsidP="00E94B3A">
      <w:pPr>
        <w:jc w:val="both"/>
      </w:pPr>
      <w:r w:rsidRPr="00F02BB4">
        <w:t xml:space="preserve">Since the significant over spend was identified </w:t>
      </w:r>
      <w:r w:rsidR="00B10CB7">
        <w:t xml:space="preserve">earlier in the year </w:t>
      </w:r>
      <w:r w:rsidRPr="00F02BB4">
        <w:t>a number of actions to reduce the impact of demand for social care services have been i</w:t>
      </w:r>
      <w:r w:rsidR="00E94B3A">
        <w:t xml:space="preserve">mplemented by the Directorate. </w:t>
      </w:r>
      <w:r w:rsidRPr="00F02BB4">
        <w:t xml:space="preserve">These have started to take effect and have resulted in a much reduced overspend position. In addition some emerging under spends can be reflected in the monitoring position.  </w:t>
      </w:r>
    </w:p>
    <w:p w:rsidR="00F02BB4" w:rsidRDefault="00B10CB7" w:rsidP="00F02BB4">
      <w:r>
        <w:t>The main factors producing the change in forecast position are:</w:t>
      </w:r>
    </w:p>
    <w:p w:rsidR="00B10CB7" w:rsidRPr="007919B5" w:rsidRDefault="00E8122E" w:rsidP="000738F4">
      <w:pPr>
        <w:jc w:val="both"/>
        <w:rPr>
          <w:i/>
        </w:rPr>
      </w:pPr>
      <w:r w:rsidRPr="00E8122E">
        <w:rPr>
          <w:i/>
        </w:rPr>
        <w:t>Increases in budget pressure</w:t>
      </w:r>
    </w:p>
    <w:p w:rsidR="00F02BB4" w:rsidRPr="00F02BB4" w:rsidRDefault="00FD285B" w:rsidP="000738F4">
      <w:pPr>
        <w:pStyle w:val="ListParagraph"/>
        <w:numPr>
          <w:ilvl w:val="0"/>
          <w:numId w:val="49"/>
        </w:numPr>
        <w:jc w:val="both"/>
      </w:pPr>
      <w:r>
        <w:t>An increase in the forecast cost on Children's Social Care of £1.141m</w:t>
      </w:r>
      <w:r w:rsidR="000A695D">
        <w:t xml:space="preserve"> due to increases in demand</w:t>
      </w:r>
      <w:r w:rsidR="00F02BB4" w:rsidRPr="00F02BB4">
        <w:t>.</w:t>
      </w:r>
    </w:p>
    <w:p w:rsidR="00B10CB7" w:rsidRDefault="007919B5" w:rsidP="000738F4">
      <w:pPr>
        <w:jc w:val="both"/>
      </w:pPr>
      <w:r>
        <w:t>These areas of pressures are o</w:t>
      </w:r>
      <w:r w:rsidR="00B10CB7">
        <w:t>ffset by underspending</w:t>
      </w:r>
      <w:r>
        <w:t xml:space="preserve"> in the following areas:</w:t>
      </w:r>
    </w:p>
    <w:p w:rsidR="00461D30" w:rsidRDefault="00F02BB4" w:rsidP="000738F4">
      <w:pPr>
        <w:pStyle w:val="ListParagraph"/>
        <w:numPr>
          <w:ilvl w:val="0"/>
          <w:numId w:val="49"/>
        </w:numPr>
        <w:tabs>
          <w:tab w:val="left" w:pos="5810"/>
        </w:tabs>
        <w:jc w:val="both"/>
      </w:pPr>
      <w:r w:rsidRPr="00F02BB4">
        <w:t xml:space="preserve">£0.800m pay costs </w:t>
      </w:r>
      <w:r w:rsidR="007919B5">
        <w:t xml:space="preserve">set aside within the revenue budget to fund the impact of the pay and grading harmonisation relating to Soulbury grades. A decision by </w:t>
      </w:r>
      <w:r w:rsidR="003065DF">
        <w:t>the Employment Committee</w:t>
      </w:r>
      <w:r w:rsidR="007919B5">
        <w:t xml:space="preserve"> on </w:t>
      </w:r>
      <w:r w:rsidR="003065DF">
        <w:t>7 October 2013</w:t>
      </w:r>
      <w:r w:rsidR="007919B5">
        <w:t xml:space="preserve"> not to </w:t>
      </w:r>
      <w:r w:rsidR="00F5117B">
        <w:t xml:space="preserve">continue </w:t>
      </w:r>
      <w:r w:rsidR="000A695D">
        <w:t xml:space="preserve">the harmonisation process </w:t>
      </w:r>
      <w:r w:rsidR="00F5117B">
        <w:t>means that this funding is no longer required and is available to  help the Directorate manage its overall budget position</w:t>
      </w:r>
      <w:r w:rsidRPr="00F02BB4">
        <w:t>;</w:t>
      </w:r>
    </w:p>
    <w:p w:rsidR="00F02BB4" w:rsidRPr="00461D30" w:rsidRDefault="00461D30" w:rsidP="000738F4">
      <w:pPr>
        <w:pStyle w:val="ListParagraph"/>
        <w:numPr>
          <w:ilvl w:val="0"/>
          <w:numId w:val="49"/>
        </w:numPr>
        <w:tabs>
          <w:tab w:val="left" w:pos="5810"/>
        </w:tabs>
        <w:jc w:val="both"/>
      </w:pPr>
      <w:r w:rsidRPr="00461D30">
        <w:t>A</w:t>
      </w:r>
      <w:r w:rsidR="00F02BB4" w:rsidRPr="00461D30">
        <w:t xml:space="preserve">llocation of £1.330m from the Public Health budget for services provided by </w:t>
      </w:r>
      <w:r w:rsidR="00F5117B">
        <w:t xml:space="preserve">the </w:t>
      </w:r>
      <w:r w:rsidR="000A695D">
        <w:t xml:space="preserve">Directorate </w:t>
      </w:r>
      <w:r w:rsidR="000A695D" w:rsidRPr="00461D30">
        <w:t>which</w:t>
      </w:r>
      <w:r w:rsidR="00F02BB4" w:rsidRPr="00461D30">
        <w:t xml:space="preserve"> include</w:t>
      </w:r>
      <w:r w:rsidR="000A695D">
        <w:t>s</w:t>
      </w:r>
      <w:r w:rsidR="00F02BB4" w:rsidRPr="00461D30">
        <w:t xml:space="preserve"> early Support, Children'</w:t>
      </w:r>
      <w:r w:rsidR="000A695D">
        <w:t>s Centre and Domestic Abuse.</w:t>
      </w:r>
    </w:p>
    <w:p w:rsidR="00F02BB4" w:rsidRPr="00461D30" w:rsidRDefault="00F5117B" w:rsidP="000738F4">
      <w:pPr>
        <w:jc w:val="both"/>
      </w:pPr>
      <w:r>
        <w:t>The implementation of the</w:t>
      </w:r>
      <w:r w:rsidR="00461D30" w:rsidRPr="00461D30">
        <w:t xml:space="preserve"> </w:t>
      </w:r>
      <w:r w:rsidR="00F02BB4" w:rsidRPr="00461D30">
        <w:t>Directorate Action Plan</w:t>
      </w:r>
      <w:r>
        <w:t xml:space="preserve"> to manage the overall financial position has resulted in:</w:t>
      </w:r>
    </w:p>
    <w:p w:rsidR="00461D30" w:rsidRPr="00461D30" w:rsidRDefault="00F02BB4" w:rsidP="000738F4">
      <w:pPr>
        <w:pStyle w:val="ListParagraph"/>
        <w:numPr>
          <w:ilvl w:val="0"/>
          <w:numId w:val="49"/>
        </w:numPr>
        <w:tabs>
          <w:tab w:val="left" w:pos="5810"/>
        </w:tabs>
        <w:jc w:val="both"/>
      </w:pPr>
      <w:r w:rsidRPr="00461D30">
        <w:t>£1.048m reduced expenditure in the areas of Early Years, Early intervention and Lancashire Break Time</w:t>
      </w:r>
      <w:r w:rsidR="003065DF">
        <w:t xml:space="preserve"> as a result of reviews undertaken to minimise</w:t>
      </w:r>
      <w:r w:rsidR="000A695D">
        <w:t xml:space="preserve"> </w:t>
      </w:r>
      <w:r w:rsidR="003065DF">
        <w:t>expenditure without seriously impacting upon beneficial outcomes</w:t>
      </w:r>
      <w:r w:rsidRPr="00461D30">
        <w:t>;</w:t>
      </w:r>
    </w:p>
    <w:p w:rsidR="00461D30" w:rsidRPr="00461D30" w:rsidRDefault="00461D30" w:rsidP="000738F4">
      <w:pPr>
        <w:pStyle w:val="ListParagraph"/>
        <w:numPr>
          <w:ilvl w:val="0"/>
          <w:numId w:val="49"/>
        </w:numPr>
        <w:tabs>
          <w:tab w:val="left" w:pos="5810"/>
        </w:tabs>
        <w:jc w:val="both"/>
      </w:pPr>
      <w:r w:rsidRPr="00461D30">
        <w:t>I</w:t>
      </w:r>
      <w:r w:rsidR="00F02BB4" w:rsidRPr="00461D30">
        <w:t>mproved income forecast from traded services with schools</w:t>
      </w:r>
      <w:r w:rsidRPr="00461D30">
        <w:t xml:space="preserve"> amounting to £0.456m;</w:t>
      </w:r>
    </w:p>
    <w:p w:rsidR="00F02BB4" w:rsidRPr="00461D30" w:rsidRDefault="00461D30" w:rsidP="000738F4">
      <w:pPr>
        <w:pStyle w:val="ListParagraph"/>
        <w:numPr>
          <w:ilvl w:val="0"/>
          <w:numId w:val="49"/>
        </w:numPr>
        <w:tabs>
          <w:tab w:val="left" w:pos="5810"/>
        </w:tabs>
        <w:jc w:val="both"/>
      </w:pPr>
      <w:r w:rsidRPr="00461D30">
        <w:t xml:space="preserve">A </w:t>
      </w:r>
      <w:r w:rsidR="00F02BB4" w:rsidRPr="00461D30">
        <w:t xml:space="preserve">large number of smaller savings resulting from </w:t>
      </w:r>
      <w:r w:rsidR="00F5117B">
        <w:t xml:space="preserve">management </w:t>
      </w:r>
      <w:r w:rsidR="00F02BB4" w:rsidRPr="00461D30">
        <w:t>actions to reduce spending which total an additional £2.320m</w:t>
      </w:r>
      <w:r w:rsidR="00F5117B">
        <w:t xml:space="preserve"> of savings</w:t>
      </w:r>
      <w:r w:rsidR="00F02BB4" w:rsidRPr="00461D30">
        <w:t>.</w:t>
      </w:r>
    </w:p>
    <w:p w:rsidR="000D4E1E" w:rsidRPr="00461D30" w:rsidRDefault="00DF35E4" w:rsidP="00DF35E4">
      <w:pPr>
        <w:ind w:hanging="567"/>
        <w:jc w:val="both"/>
        <w:rPr>
          <w:b/>
        </w:rPr>
      </w:pPr>
      <w:r w:rsidRPr="000A695D">
        <w:rPr>
          <w:b/>
        </w:rPr>
        <w:t>3.4</w:t>
      </w:r>
      <w:r w:rsidRPr="00461D30">
        <w:t xml:space="preserve"> </w:t>
      </w:r>
      <w:r w:rsidRPr="00461D30">
        <w:tab/>
      </w:r>
      <w:r w:rsidR="000D4E1E" w:rsidRPr="00461D30">
        <w:rPr>
          <w:b/>
        </w:rPr>
        <w:t>T</w:t>
      </w:r>
      <w:r w:rsidR="002347AC" w:rsidRPr="00461D30">
        <w:rPr>
          <w:b/>
        </w:rPr>
        <w:t>he Environment Directorate</w:t>
      </w:r>
    </w:p>
    <w:p w:rsidR="001329CB" w:rsidRDefault="00461D30" w:rsidP="000738F4">
      <w:pPr>
        <w:spacing w:after="0" w:line="240" w:lineRule="auto"/>
        <w:jc w:val="both"/>
      </w:pPr>
      <w:r>
        <w:rPr>
          <w:rFonts w:eastAsia="Times New Roman" w:cs="Arial"/>
          <w:bCs/>
          <w:color w:val="000000"/>
          <w:szCs w:val="24"/>
          <w:lang w:eastAsia="en-GB"/>
        </w:rPr>
        <w:t>The forecast year end position is an underspend of £4.228m which represents an improved position of</w:t>
      </w:r>
      <w:r>
        <w:t xml:space="preserve"> £</w:t>
      </w:r>
      <w:r w:rsidR="001329CB" w:rsidRPr="001329CB">
        <w:t xml:space="preserve">2.310m </w:t>
      </w:r>
      <w:r>
        <w:t>since the last report to Cabinet.</w:t>
      </w:r>
    </w:p>
    <w:p w:rsidR="00461D30" w:rsidRDefault="00461D30" w:rsidP="000738F4">
      <w:pPr>
        <w:spacing w:after="0" w:line="240" w:lineRule="auto"/>
        <w:jc w:val="both"/>
      </w:pPr>
    </w:p>
    <w:p w:rsidR="00461D30" w:rsidRDefault="00461D30" w:rsidP="000738F4">
      <w:pPr>
        <w:spacing w:after="0" w:line="240" w:lineRule="auto"/>
        <w:jc w:val="both"/>
      </w:pPr>
      <w:r>
        <w:t>The main factors for the improved position are:</w:t>
      </w:r>
    </w:p>
    <w:p w:rsidR="00461D30" w:rsidRPr="001329CB" w:rsidRDefault="00461D30" w:rsidP="000738F4">
      <w:pPr>
        <w:spacing w:after="0" w:line="240" w:lineRule="auto"/>
        <w:jc w:val="both"/>
      </w:pPr>
    </w:p>
    <w:p w:rsidR="001329CB" w:rsidRPr="001329CB" w:rsidRDefault="001329CB" w:rsidP="000738F4">
      <w:pPr>
        <w:jc w:val="both"/>
        <w:rPr>
          <w:u w:val="single"/>
        </w:rPr>
      </w:pPr>
      <w:r w:rsidRPr="001329CB">
        <w:rPr>
          <w:u w:val="single"/>
        </w:rPr>
        <w:t xml:space="preserve">Transport </w:t>
      </w:r>
      <w:r w:rsidR="00E94B3A">
        <w:rPr>
          <w:u w:val="single"/>
        </w:rPr>
        <w:t>and</w:t>
      </w:r>
      <w:r w:rsidRPr="001329CB">
        <w:rPr>
          <w:u w:val="single"/>
        </w:rPr>
        <w:t xml:space="preserve"> Environment Services </w:t>
      </w:r>
    </w:p>
    <w:p w:rsidR="001329CB" w:rsidRPr="001329CB" w:rsidRDefault="001329CB" w:rsidP="000738F4">
      <w:pPr>
        <w:jc w:val="both"/>
      </w:pPr>
      <w:r w:rsidRPr="001329CB">
        <w:t xml:space="preserve">The </w:t>
      </w:r>
      <w:r w:rsidR="00F5117B">
        <w:t xml:space="preserve">forecast </w:t>
      </w:r>
      <w:r w:rsidR="00F5117B" w:rsidRPr="001329CB">
        <w:t xml:space="preserve">saving </w:t>
      </w:r>
      <w:r w:rsidR="00F5117B">
        <w:t>in relation to c</w:t>
      </w:r>
      <w:r w:rsidRPr="001329CB">
        <w:t>oncessionary travel has increased by £0.800m as a result of more accurate numbers of travel passengers.</w:t>
      </w:r>
      <w:r w:rsidR="00853EBD">
        <w:t xml:space="preserve"> This </w:t>
      </w:r>
      <w:r w:rsidR="00B95C69">
        <w:t>is</w:t>
      </w:r>
      <w:r w:rsidR="00853EBD">
        <w:t xml:space="preserve"> reflected in the  2014/15 budget.</w:t>
      </w:r>
    </w:p>
    <w:p w:rsidR="001329CB" w:rsidRPr="001329CB" w:rsidRDefault="001329CB" w:rsidP="000738F4">
      <w:pPr>
        <w:jc w:val="both"/>
      </w:pPr>
      <w:r w:rsidRPr="001329CB">
        <w:t xml:space="preserve">The Lancashire Partnership for Road Safety underspend of £0.230m due to an agreed reduction in the </w:t>
      </w:r>
      <w:r w:rsidR="00F5117B">
        <w:t>Council's level of</w:t>
      </w:r>
      <w:r w:rsidR="00F5117B" w:rsidRPr="001329CB">
        <w:t xml:space="preserve"> </w:t>
      </w:r>
      <w:r w:rsidRPr="001329CB">
        <w:t>contribution</w:t>
      </w:r>
      <w:r w:rsidR="00F5117B">
        <w:t>. B</w:t>
      </w:r>
      <w:r w:rsidRPr="001329CB">
        <w:t xml:space="preserve">ack office efficiencies </w:t>
      </w:r>
      <w:r w:rsidR="00F5117B">
        <w:t xml:space="preserve">in the operation of the Partnership </w:t>
      </w:r>
      <w:r w:rsidRPr="001329CB">
        <w:t>ha</w:t>
      </w:r>
      <w:r w:rsidR="00F5117B">
        <w:t>s</w:t>
      </w:r>
      <w:r w:rsidRPr="001329CB">
        <w:t xml:space="preserve"> meant all partners have benefit</w:t>
      </w:r>
      <w:r w:rsidR="00F5117B">
        <w:t>ed</w:t>
      </w:r>
      <w:r w:rsidRPr="001329CB">
        <w:t xml:space="preserve"> from a reduction in running costs.</w:t>
      </w:r>
      <w:r w:rsidR="00853EBD" w:rsidRPr="00853EBD">
        <w:t xml:space="preserve"> </w:t>
      </w:r>
      <w:r w:rsidR="00853EBD">
        <w:t>This has also been reflected in the 2014/15 budget.</w:t>
      </w:r>
    </w:p>
    <w:p w:rsidR="001329CB" w:rsidRPr="001329CB" w:rsidRDefault="001329CB" w:rsidP="000738F4">
      <w:pPr>
        <w:jc w:val="both"/>
      </w:pPr>
      <w:r w:rsidRPr="001329CB">
        <w:t xml:space="preserve">The </w:t>
      </w:r>
      <w:r w:rsidR="00F5117B">
        <w:t xml:space="preserve">forecast </w:t>
      </w:r>
      <w:r w:rsidRPr="001329CB">
        <w:t xml:space="preserve">expenditure </w:t>
      </w:r>
      <w:r w:rsidR="00F5117B">
        <w:t xml:space="preserve">in relation to </w:t>
      </w:r>
      <w:r w:rsidRPr="001329CB">
        <w:t xml:space="preserve"> bus contracts </w:t>
      </w:r>
      <w:r w:rsidR="00F5117B">
        <w:t>has</w:t>
      </w:r>
      <w:r w:rsidRPr="001329CB">
        <w:t xml:space="preserve"> also </w:t>
      </w:r>
      <w:r w:rsidR="00F5117B">
        <w:t>reduced</w:t>
      </w:r>
      <w:r w:rsidRPr="001329CB">
        <w:t xml:space="preserve"> due to </w:t>
      </w:r>
      <w:r w:rsidR="00F5117B">
        <w:t xml:space="preserve">a </w:t>
      </w:r>
      <w:r w:rsidR="00853EBD">
        <w:t>fall in the number of passengers on subsidised routes</w:t>
      </w:r>
      <w:r w:rsidRPr="001329CB">
        <w:t xml:space="preserve"> resulting in a further under spend of £0.150m.</w:t>
      </w:r>
    </w:p>
    <w:p w:rsidR="001329CB" w:rsidRPr="001329CB" w:rsidRDefault="001329CB" w:rsidP="001329CB">
      <w:pPr>
        <w:rPr>
          <w:u w:val="single"/>
        </w:rPr>
      </w:pPr>
      <w:r w:rsidRPr="001329CB">
        <w:rPr>
          <w:u w:val="single"/>
        </w:rPr>
        <w:t xml:space="preserve">Strategy </w:t>
      </w:r>
      <w:r w:rsidR="00E94B3A">
        <w:rPr>
          <w:u w:val="single"/>
        </w:rPr>
        <w:t>and</w:t>
      </w:r>
      <w:r w:rsidRPr="001329CB">
        <w:rPr>
          <w:u w:val="single"/>
        </w:rPr>
        <w:t xml:space="preserve"> Policy Services</w:t>
      </w:r>
    </w:p>
    <w:p w:rsidR="00461D30" w:rsidRPr="00461D30" w:rsidRDefault="001329CB" w:rsidP="000738F4">
      <w:pPr>
        <w:jc w:val="both"/>
      </w:pPr>
      <w:r w:rsidRPr="001329CB">
        <w:t xml:space="preserve">The underspend </w:t>
      </w:r>
      <w:r w:rsidR="00F5117B">
        <w:t>in relation to waste services</w:t>
      </w:r>
      <w:r w:rsidR="00E96BDC">
        <w:t xml:space="preserve"> </w:t>
      </w:r>
      <w:r w:rsidRPr="001329CB">
        <w:t xml:space="preserve">has increased by £1.040m due </w:t>
      </w:r>
      <w:r w:rsidR="00E96BDC">
        <w:t>to a number of factors, including</w:t>
      </w:r>
      <w:r w:rsidRPr="001329CB">
        <w:t xml:space="preserve"> increased waste diversion rates as a result of more opportunities </w:t>
      </w:r>
      <w:r w:rsidR="00853EBD">
        <w:t xml:space="preserve">to avoid </w:t>
      </w:r>
      <w:r w:rsidRPr="001329CB">
        <w:t xml:space="preserve"> landfill </w:t>
      </w:r>
      <w:r w:rsidR="00853EBD">
        <w:t>by using alternative markets for the waste we receive</w:t>
      </w:r>
      <w:r w:rsidRPr="001329CB">
        <w:t xml:space="preserve">. </w:t>
      </w:r>
      <w:r w:rsidR="00E96BDC">
        <w:t>In addition, r</w:t>
      </w:r>
      <w:r w:rsidRPr="001329CB">
        <w:t xml:space="preserve">educed transport costs </w:t>
      </w:r>
      <w:r w:rsidR="00F5117B">
        <w:t xml:space="preserve">are forecast </w:t>
      </w:r>
      <w:r w:rsidRPr="001329CB">
        <w:t>due to the more efficient movement of waste</w:t>
      </w:r>
      <w:r w:rsidR="00853EBD">
        <w:t xml:space="preserve">. For example </w:t>
      </w:r>
      <w:r w:rsidR="00B95C69">
        <w:t>the Council is</w:t>
      </w:r>
      <w:r w:rsidR="00853EBD">
        <w:t xml:space="preserve"> now transporting waste directly to our waste processing plant in Thornton</w:t>
      </w:r>
      <w:r w:rsidRPr="001329CB">
        <w:t xml:space="preserve"> rather than via waste transfer station in the Blackpool area. There has been an increase in the performance deductions on the PFI contract and less recycling credits being provided to third sector organisations than expected. </w:t>
      </w:r>
    </w:p>
    <w:p w:rsidR="00530A08" w:rsidRPr="00461D30" w:rsidRDefault="00DF35E4" w:rsidP="000738F4">
      <w:pPr>
        <w:ind w:hanging="567"/>
        <w:jc w:val="both"/>
        <w:rPr>
          <w:b/>
        </w:rPr>
      </w:pPr>
      <w:r w:rsidRPr="000A695D">
        <w:rPr>
          <w:b/>
        </w:rPr>
        <w:t>3.5</w:t>
      </w:r>
      <w:r w:rsidRPr="00461D30">
        <w:t xml:space="preserve"> </w:t>
      </w:r>
      <w:r w:rsidRPr="00461D30">
        <w:tab/>
      </w:r>
      <w:r w:rsidR="00530A08" w:rsidRPr="00461D30">
        <w:rPr>
          <w:b/>
        </w:rPr>
        <w:t>The Office of the Chief Executive</w:t>
      </w:r>
    </w:p>
    <w:p w:rsidR="00461D30" w:rsidRDefault="00461D30" w:rsidP="000738F4">
      <w:pPr>
        <w:tabs>
          <w:tab w:val="left" w:pos="7697"/>
        </w:tabs>
        <w:jc w:val="both"/>
      </w:pPr>
      <w:r>
        <w:t xml:space="preserve">The Office of the Chief Executive is forecasting </w:t>
      </w:r>
      <w:proofErr w:type="gramStart"/>
      <w:r>
        <w:t>a</w:t>
      </w:r>
      <w:r w:rsidR="00E94B3A">
        <w:t xml:space="preserve">n </w:t>
      </w:r>
      <w:r w:rsidR="00C0520A">
        <w:t>overspend</w:t>
      </w:r>
      <w:proofErr w:type="gramEnd"/>
      <w:r w:rsidR="00C0520A">
        <w:t xml:space="preserve"> of</w:t>
      </w:r>
      <w:r>
        <w:t xml:space="preserve"> £0.335m</w:t>
      </w:r>
      <w:r w:rsidR="00C0520A">
        <w:t xml:space="preserve"> which represents an improvement in the </w:t>
      </w:r>
      <w:r>
        <w:t xml:space="preserve">position since that last reported to </w:t>
      </w:r>
      <w:r w:rsidR="000738F4">
        <w:t>C</w:t>
      </w:r>
      <w:r>
        <w:t>abinet of £0.160m.</w:t>
      </w:r>
    </w:p>
    <w:p w:rsidR="0085368B" w:rsidRPr="000738F4" w:rsidRDefault="003C4159" w:rsidP="000738F4">
      <w:pPr>
        <w:tabs>
          <w:tab w:val="left" w:pos="7697"/>
        </w:tabs>
        <w:jc w:val="both"/>
        <w:rPr>
          <w:b/>
          <w:highlight w:val="yellow"/>
        </w:rPr>
      </w:pPr>
      <w:r>
        <w:t xml:space="preserve">The reason for the </w:t>
      </w:r>
      <w:proofErr w:type="gramStart"/>
      <w:r>
        <w:t>reduction in forecast overspend</w:t>
      </w:r>
      <w:proofErr w:type="gramEnd"/>
      <w:r>
        <w:t xml:space="preserve"> is, in the main, due to a reduced forecast of the cost of appointing an interim Chief Executive due to the Chief Executive's post becoming vacant.</w:t>
      </w:r>
    </w:p>
    <w:p w:rsidR="00530A08" w:rsidRPr="00657459" w:rsidRDefault="00DF35E4" w:rsidP="00DF35E4">
      <w:pPr>
        <w:ind w:hanging="567"/>
        <w:jc w:val="both"/>
        <w:rPr>
          <w:b/>
        </w:rPr>
      </w:pPr>
      <w:r w:rsidRPr="000738F4">
        <w:rPr>
          <w:b/>
        </w:rPr>
        <w:t>3.6</w:t>
      </w:r>
      <w:r w:rsidRPr="00657459">
        <w:t xml:space="preserve"> </w:t>
      </w:r>
      <w:r w:rsidRPr="00657459">
        <w:tab/>
      </w:r>
      <w:r w:rsidR="00530A08" w:rsidRPr="00657459">
        <w:rPr>
          <w:b/>
        </w:rPr>
        <w:t>The County Treasurer's Directorate</w:t>
      </w:r>
    </w:p>
    <w:p w:rsidR="000A07BC" w:rsidRPr="00461D30" w:rsidRDefault="00E13B97" w:rsidP="00E13B97">
      <w:pPr>
        <w:jc w:val="both"/>
      </w:pPr>
      <w:r w:rsidRPr="00657459">
        <w:t xml:space="preserve">The County Treasurer's </w:t>
      </w:r>
      <w:r w:rsidR="003C66D1" w:rsidRPr="00657459">
        <w:t>D</w:t>
      </w:r>
      <w:r w:rsidRPr="00657459">
        <w:t>irectorate is forecast to underspend by £0.</w:t>
      </w:r>
      <w:r w:rsidR="00657459" w:rsidRPr="00657459">
        <w:t>422</w:t>
      </w:r>
      <w:r w:rsidRPr="00657459">
        <w:t xml:space="preserve">m </w:t>
      </w:r>
      <w:r w:rsidR="00657459">
        <w:t xml:space="preserve">which </w:t>
      </w:r>
      <w:r w:rsidR="00461D30">
        <w:t>reflects an improved position since the last report to Cabinet of £0.103m</w:t>
      </w:r>
      <w:r w:rsidR="00657459">
        <w:t xml:space="preserve"> </w:t>
      </w:r>
      <w:r w:rsidRPr="00657459">
        <w:t xml:space="preserve">which is largely as a result of holding vacant posts within the Directorate </w:t>
      </w:r>
      <w:r w:rsidR="00E96BDC">
        <w:t>ahead of delivering the 2014/15 budget savings.</w:t>
      </w:r>
      <w:r w:rsidRPr="00461D30">
        <w:t xml:space="preserve">  </w:t>
      </w:r>
    </w:p>
    <w:p w:rsidR="00530A08" w:rsidRPr="00461D30" w:rsidRDefault="0085368B" w:rsidP="00DF35E4">
      <w:pPr>
        <w:ind w:hanging="567"/>
        <w:jc w:val="both"/>
        <w:rPr>
          <w:b/>
        </w:rPr>
      </w:pPr>
      <w:r w:rsidRPr="000738F4">
        <w:rPr>
          <w:b/>
        </w:rPr>
        <w:t>3</w:t>
      </w:r>
      <w:r w:rsidR="00DF35E4" w:rsidRPr="000738F4">
        <w:rPr>
          <w:b/>
        </w:rPr>
        <w:t>.7</w:t>
      </w:r>
      <w:r w:rsidR="00DF35E4" w:rsidRPr="00461D30">
        <w:t xml:space="preserve"> </w:t>
      </w:r>
      <w:r w:rsidR="00DF35E4" w:rsidRPr="00461D30">
        <w:tab/>
      </w:r>
      <w:r w:rsidR="00530A08" w:rsidRPr="00461D30">
        <w:rPr>
          <w:b/>
        </w:rPr>
        <w:t>T</w:t>
      </w:r>
      <w:r w:rsidR="005A332F" w:rsidRPr="00461D30">
        <w:rPr>
          <w:b/>
        </w:rPr>
        <w:t xml:space="preserve">he </w:t>
      </w:r>
      <w:r w:rsidR="004F37C4" w:rsidRPr="00461D30">
        <w:rPr>
          <w:b/>
        </w:rPr>
        <w:t>Strategic Partnership budget</w:t>
      </w:r>
    </w:p>
    <w:p w:rsidR="0085368B" w:rsidRPr="000738F4" w:rsidRDefault="000A07BC" w:rsidP="000738F4">
      <w:pPr>
        <w:jc w:val="both"/>
      </w:pPr>
      <w:r>
        <w:t>The Strategic Partner budget is forecast to overspend by £5.</w:t>
      </w:r>
      <w:r w:rsidR="00C0520A">
        <w:t>4</w:t>
      </w:r>
      <w:r>
        <w:t>m which represents a</w:t>
      </w:r>
      <w:r w:rsidR="00C0520A">
        <w:t xml:space="preserve"> slight</w:t>
      </w:r>
      <w:r>
        <w:t xml:space="preserve"> increase in overspend since the last report to Cabinet of £0.4m.</w:t>
      </w:r>
      <w:r w:rsidR="00C0520A">
        <w:t xml:space="preserve"> Of this £2m relates to loss of income and £3.4m relating to lower than anticipated procurement savings on revenue expenditure.</w:t>
      </w:r>
    </w:p>
    <w:p w:rsidR="00D666B6" w:rsidRPr="004739B5" w:rsidRDefault="00DF35E4" w:rsidP="00DF35E4">
      <w:pPr>
        <w:autoSpaceDE w:val="0"/>
        <w:autoSpaceDN w:val="0"/>
        <w:adjustRightInd w:val="0"/>
        <w:spacing w:after="0"/>
        <w:ind w:hanging="567"/>
        <w:jc w:val="both"/>
        <w:rPr>
          <w:b/>
        </w:rPr>
      </w:pPr>
      <w:r w:rsidRPr="000738F4">
        <w:rPr>
          <w:b/>
        </w:rPr>
        <w:t>3.8</w:t>
      </w:r>
      <w:r w:rsidRPr="004739B5">
        <w:t xml:space="preserve"> </w:t>
      </w:r>
      <w:r w:rsidRPr="004739B5">
        <w:tab/>
      </w:r>
      <w:r w:rsidR="00D666B6" w:rsidRPr="004739B5">
        <w:rPr>
          <w:b/>
        </w:rPr>
        <w:t>Lancashire County Commercial Group</w:t>
      </w:r>
    </w:p>
    <w:p w:rsidR="00367BD8" w:rsidRPr="004739B5" w:rsidRDefault="00367BD8" w:rsidP="00367BD8">
      <w:pPr>
        <w:autoSpaceDE w:val="0"/>
        <w:autoSpaceDN w:val="0"/>
        <w:adjustRightInd w:val="0"/>
        <w:spacing w:after="0"/>
        <w:jc w:val="both"/>
        <w:rPr>
          <w:b/>
        </w:rPr>
      </w:pPr>
    </w:p>
    <w:p w:rsidR="0085368B" w:rsidRPr="000738F4" w:rsidRDefault="00D666B6" w:rsidP="000738F4">
      <w:pPr>
        <w:jc w:val="both"/>
      </w:pPr>
      <w:r w:rsidRPr="004739B5">
        <w:t xml:space="preserve">The </w:t>
      </w:r>
      <w:r w:rsidR="00193694" w:rsidRPr="004739B5">
        <w:t xml:space="preserve">Lancashire County Commercial group is currently reporting an underspend of </w:t>
      </w:r>
      <w:r w:rsidR="004C3FED" w:rsidRPr="004739B5">
        <w:t>£0.</w:t>
      </w:r>
      <w:r w:rsidR="00193694" w:rsidRPr="004739B5">
        <w:t>759</w:t>
      </w:r>
      <w:r w:rsidR="004C3FED" w:rsidRPr="004739B5">
        <w:t xml:space="preserve">m </w:t>
      </w:r>
      <w:r w:rsidR="00193694" w:rsidRPr="004739B5">
        <w:t>compared to £0.202m</w:t>
      </w:r>
      <w:r w:rsidR="00260803" w:rsidRPr="004739B5">
        <w:t xml:space="preserve"> previously </w:t>
      </w:r>
      <w:r w:rsidR="0032688D" w:rsidRPr="004739B5">
        <w:t xml:space="preserve">reported </w:t>
      </w:r>
      <w:r w:rsidR="00260803" w:rsidRPr="004739B5">
        <w:t xml:space="preserve">to </w:t>
      </w:r>
      <w:r w:rsidR="003C66D1" w:rsidRPr="004739B5">
        <w:t>C</w:t>
      </w:r>
      <w:r w:rsidR="00260803" w:rsidRPr="004739B5">
        <w:t>abinet</w:t>
      </w:r>
      <w:r w:rsidR="0012578C">
        <w:t xml:space="preserve">. This </w:t>
      </w:r>
      <w:r w:rsidR="004C3FED" w:rsidRPr="004739B5">
        <w:t>reflects a</w:t>
      </w:r>
      <w:r w:rsidR="00231D2D" w:rsidRPr="004739B5">
        <w:t>n overall</w:t>
      </w:r>
      <w:r w:rsidR="004C3FED" w:rsidRPr="004739B5">
        <w:t xml:space="preserve"> reduction in costs whilst maintaining inco</w:t>
      </w:r>
      <w:r w:rsidR="00193694" w:rsidRPr="004739B5">
        <w:t>me.</w:t>
      </w:r>
    </w:p>
    <w:p w:rsidR="00530A08" w:rsidRPr="00CC341E" w:rsidRDefault="00DF35E4" w:rsidP="00DF35E4">
      <w:pPr>
        <w:ind w:hanging="567"/>
        <w:jc w:val="both"/>
        <w:rPr>
          <w:b/>
        </w:rPr>
      </w:pPr>
      <w:r w:rsidRPr="000A695D">
        <w:rPr>
          <w:b/>
        </w:rPr>
        <w:t>3.9</w:t>
      </w:r>
      <w:r w:rsidRPr="00CC341E">
        <w:t xml:space="preserve"> </w:t>
      </w:r>
      <w:r w:rsidR="000738F4">
        <w:tab/>
      </w:r>
      <w:r w:rsidR="00530A08" w:rsidRPr="00CC341E">
        <w:rPr>
          <w:b/>
        </w:rPr>
        <w:t>The Corporate budget</w:t>
      </w:r>
    </w:p>
    <w:p w:rsidR="00CC341E" w:rsidRPr="00CC341E" w:rsidRDefault="00077EAD" w:rsidP="000738F4">
      <w:pPr>
        <w:spacing w:after="0" w:line="240" w:lineRule="auto"/>
        <w:jc w:val="both"/>
        <w:rPr>
          <w:rFonts w:eastAsia="Times New Roman" w:cs="Arial"/>
          <w:color w:val="000000"/>
          <w:szCs w:val="24"/>
          <w:lang w:eastAsia="en-GB"/>
        </w:rPr>
      </w:pPr>
      <w:r>
        <w:rPr>
          <w:rFonts w:eastAsia="Times New Roman" w:cs="Arial"/>
          <w:color w:val="000000"/>
          <w:szCs w:val="24"/>
          <w:lang w:eastAsia="en-GB"/>
        </w:rPr>
        <w:t xml:space="preserve">An overspend of £1.720m is being reported on corporately held budgets which represents a £3.7m </w:t>
      </w:r>
      <w:r w:rsidR="00B95C69">
        <w:rPr>
          <w:rFonts w:eastAsia="Times New Roman" w:cs="Arial"/>
          <w:color w:val="000000"/>
          <w:szCs w:val="24"/>
          <w:lang w:eastAsia="en-GB"/>
        </w:rPr>
        <w:t>change</w:t>
      </w:r>
      <w:r>
        <w:rPr>
          <w:rFonts w:eastAsia="Times New Roman" w:cs="Arial"/>
          <w:color w:val="000000"/>
          <w:szCs w:val="24"/>
          <w:lang w:eastAsia="en-GB"/>
        </w:rPr>
        <w:t xml:space="preserve"> since the position last reported to cabinet</w:t>
      </w:r>
      <w:r w:rsidR="00B6332C">
        <w:rPr>
          <w:rFonts w:eastAsia="Times New Roman" w:cs="Arial"/>
          <w:color w:val="000000"/>
          <w:szCs w:val="24"/>
          <w:lang w:eastAsia="en-GB"/>
        </w:rPr>
        <w:t>.</w:t>
      </w:r>
      <w:r w:rsidR="005D4039">
        <w:rPr>
          <w:rFonts w:eastAsia="Times New Roman" w:cs="Arial"/>
          <w:color w:val="000000"/>
          <w:szCs w:val="24"/>
          <w:lang w:eastAsia="en-GB"/>
        </w:rPr>
        <w:t xml:space="preserve"> </w:t>
      </w:r>
      <w:r w:rsidR="00CC341E" w:rsidRPr="00CC341E">
        <w:rPr>
          <w:rFonts w:eastAsia="Times New Roman" w:cs="Arial"/>
          <w:color w:val="000000"/>
          <w:szCs w:val="24"/>
          <w:lang w:eastAsia="en-GB"/>
        </w:rPr>
        <w:t xml:space="preserve">The key issues </w:t>
      </w:r>
      <w:r w:rsidR="005D4039">
        <w:rPr>
          <w:rFonts w:eastAsia="Times New Roman" w:cs="Arial"/>
          <w:color w:val="000000"/>
          <w:szCs w:val="24"/>
          <w:lang w:eastAsia="en-GB"/>
        </w:rPr>
        <w:t>that have caused</w:t>
      </w:r>
      <w:r w:rsidR="00B6332C">
        <w:rPr>
          <w:rFonts w:eastAsia="Times New Roman" w:cs="Arial"/>
          <w:color w:val="000000"/>
          <w:szCs w:val="24"/>
          <w:lang w:eastAsia="en-GB"/>
        </w:rPr>
        <w:t xml:space="preserve"> this change</w:t>
      </w:r>
      <w:r w:rsidR="005D4039">
        <w:rPr>
          <w:rFonts w:eastAsia="Times New Roman" w:cs="Arial"/>
          <w:color w:val="000000"/>
          <w:szCs w:val="24"/>
          <w:lang w:eastAsia="en-GB"/>
        </w:rPr>
        <w:t xml:space="preserve"> are:</w:t>
      </w:r>
      <w:r w:rsidR="00CC341E" w:rsidRPr="00CC341E">
        <w:rPr>
          <w:rFonts w:eastAsia="Times New Roman" w:cs="Arial"/>
          <w:color w:val="000000"/>
          <w:szCs w:val="24"/>
          <w:lang w:eastAsia="en-GB"/>
        </w:rPr>
        <w:t>:</w:t>
      </w:r>
    </w:p>
    <w:p w:rsidR="00CC341E" w:rsidRPr="00CC341E" w:rsidRDefault="00CC341E" w:rsidP="0085368B">
      <w:pPr>
        <w:spacing w:after="0" w:line="240" w:lineRule="auto"/>
        <w:rPr>
          <w:rFonts w:eastAsia="Times New Roman" w:cs="Arial"/>
          <w:color w:val="000000"/>
          <w:szCs w:val="24"/>
          <w:lang w:eastAsia="en-GB"/>
        </w:rPr>
      </w:pPr>
    </w:p>
    <w:p w:rsidR="00CC341E" w:rsidRPr="002460FB" w:rsidRDefault="00CC341E" w:rsidP="000738F4">
      <w:pPr>
        <w:pStyle w:val="ListParagraph"/>
        <w:numPr>
          <w:ilvl w:val="0"/>
          <w:numId w:val="48"/>
        </w:numPr>
        <w:spacing w:after="0" w:line="240" w:lineRule="auto"/>
        <w:jc w:val="both"/>
        <w:rPr>
          <w:rFonts w:eastAsia="Times New Roman" w:cs="Arial"/>
          <w:color w:val="000000"/>
          <w:szCs w:val="24"/>
          <w:lang w:eastAsia="en-GB"/>
        </w:rPr>
      </w:pPr>
      <w:r w:rsidRPr="002460FB">
        <w:rPr>
          <w:rFonts w:eastAsia="Times New Roman" w:cs="Arial"/>
          <w:color w:val="000000"/>
          <w:szCs w:val="24"/>
          <w:lang w:eastAsia="en-GB"/>
        </w:rPr>
        <w:t xml:space="preserve">Unrealised property related savings </w:t>
      </w:r>
      <w:r w:rsidR="005D4039">
        <w:rPr>
          <w:rFonts w:eastAsia="Times New Roman" w:cs="Arial"/>
          <w:color w:val="000000"/>
          <w:szCs w:val="24"/>
          <w:lang w:eastAsia="en-GB"/>
        </w:rPr>
        <w:t>giving</w:t>
      </w:r>
      <w:r w:rsidRPr="002460FB">
        <w:rPr>
          <w:rFonts w:eastAsia="Times New Roman" w:cs="Arial"/>
          <w:color w:val="000000"/>
          <w:szCs w:val="24"/>
          <w:lang w:eastAsia="en-GB"/>
        </w:rPr>
        <w:t xml:space="preserve"> </w:t>
      </w:r>
      <w:proofErr w:type="gramStart"/>
      <w:r w:rsidRPr="002460FB">
        <w:rPr>
          <w:rFonts w:eastAsia="Times New Roman" w:cs="Arial"/>
          <w:color w:val="000000"/>
          <w:szCs w:val="24"/>
          <w:lang w:eastAsia="en-GB"/>
        </w:rPr>
        <w:t>an overspend</w:t>
      </w:r>
      <w:proofErr w:type="gramEnd"/>
      <w:r w:rsidRPr="002460FB">
        <w:rPr>
          <w:rFonts w:eastAsia="Times New Roman" w:cs="Arial"/>
          <w:color w:val="000000"/>
          <w:szCs w:val="24"/>
          <w:lang w:eastAsia="en-GB"/>
        </w:rPr>
        <w:t xml:space="preserve"> of £2m, plans are in place to realise these savings in 2014/15 but there will be an overspend in this financial year</w:t>
      </w:r>
      <w:r w:rsidR="00FD72EF">
        <w:rPr>
          <w:rFonts w:eastAsia="Times New Roman" w:cs="Arial"/>
          <w:color w:val="000000"/>
          <w:szCs w:val="24"/>
          <w:lang w:eastAsia="en-GB"/>
        </w:rPr>
        <w:t>.</w:t>
      </w:r>
    </w:p>
    <w:p w:rsidR="00447890" w:rsidRPr="000A695D" w:rsidRDefault="002460FB" w:rsidP="000738F4">
      <w:pPr>
        <w:pStyle w:val="ListParagraph"/>
        <w:numPr>
          <w:ilvl w:val="0"/>
          <w:numId w:val="48"/>
        </w:numPr>
        <w:spacing w:after="0" w:line="240" w:lineRule="auto"/>
        <w:jc w:val="both"/>
      </w:pPr>
      <w:r w:rsidRPr="002460FB">
        <w:rPr>
          <w:rFonts w:eastAsia="Times New Roman" w:cs="Arial"/>
          <w:color w:val="000000"/>
          <w:szCs w:val="24"/>
          <w:lang w:eastAsia="en-GB"/>
        </w:rPr>
        <w:t xml:space="preserve">Unrealised savings of £1.9m in respect of the redesign of the Council's Operating Model, </w:t>
      </w:r>
      <w:r w:rsidR="00B6332C">
        <w:rPr>
          <w:rFonts w:eastAsia="Times New Roman" w:cs="Arial"/>
          <w:color w:val="000000"/>
          <w:szCs w:val="24"/>
          <w:lang w:eastAsia="en-GB"/>
        </w:rPr>
        <w:t xml:space="preserve">plans are in place to deliver </w:t>
      </w:r>
      <w:r w:rsidR="00B95C69">
        <w:rPr>
          <w:rFonts w:eastAsia="Times New Roman" w:cs="Arial"/>
          <w:color w:val="000000"/>
          <w:szCs w:val="24"/>
          <w:lang w:eastAsia="en-GB"/>
        </w:rPr>
        <w:t xml:space="preserve">the majority </w:t>
      </w:r>
      <w:r w:rsidR="00B6332C">
        <w:rPr>
          <w:rFonts w:eastAsia="Times New Roman" w:cs="Arial"/>
          <w:color w:val="000000"/>
          <w:szCs w:val="24"/>
          <w:lang w:eastAsia="en-GB"/>
        </w:rPr>
        <w:t>of th</w:t>
      </w:r>
      <w:r w:rsidR="00B95C69">
        <w:rPr>
          <w:rFonts w:eastAsia="Times New Roman" w:cs="Arial"/>
          <w:color w:val="000000"/>
          <w:szCs w:val="24"/>
          <w:lang w:eastAsia="en-GB"/>
        </w:rPr>
        <w:t>is</w:t>
      </w:r>
      <w:r w:rsidR="00B6332C">
        <w:rPr>
          <w:rFonts w:eastAsia="Times New Roman" w:cs="Arial"/>
          <w:color w:val="000000"/>
          <w:szCs w:val="24"/>
          <w:lang w:eastAsia="en-GB"/>
        </w:rPr>
        <w:t xml:space="preserve"> saving in 2014/15 however a pressure will remain </w:t>
      </w:r>
      <w:r w:rsidR="00D83FF9">
        <w:rPr>
          <w:rFonts w:eastAsia="Times New Roman" w:cs="Arial"/>
          <w:color w:val="000000"/>
          <w:szCs w:val="24"/>
          <w:lang w:eastAsia="en-GB"/>
        </w:rPr>
        <w:t xml:space="preserve">of £0.5m </w:t>
      </w:r>
      <w:r w:rsidR="00B6332C">
        <w:rPr>
          <w:rFonts w:eastAsia="Times New Roman" w:cs="Arial"/>
          <w:color w:val="000000"/>
          <w:szCs w:val="24"/>
          <w:lang w:eastAsia="en-GB"/>
        </w:rPr>
        <w:t xml:space="preserve">which is </w:t>
      </w:r>
      <w:r w:rsidR="00B95C69">
        <w:rPr>
          <w:rFonts w:eastAsia="Times New Roman" w:cs="Arial"/>
          <w:color w:val="000000"/>
          <w:szCs w:val="24"/>
          <w:lang w:eastAsia="en-GB"/>
        </w:rPr>
        <w:t>incorporated within the 2014/15 budget set out elsewhere</w:t>
      </w:r>
      <w:r w:rsidR="00D83FF9">
        <w:rPr>
          <w:rFonts w:eastAsia="Times New Roman" w:cs="Arial"/>
          <w:color w:val="000000"/>
          <w:szCs w:val="24"/>
          <w:lang w:eastAsia="en-GB"/>
        </w:rPr>
        <w:t xml:space="preserve"> on</w:t>
      </w:r>
      <w:r w:rsidR="00B95C69">
        <w:rPr>
          <w:rFonts w:eastAsia="Times New Roman" w:cs="Arial"/>
          <w:color w:val="000000"/>
          <w:szCs w:val="24"/>
          <w:lang w:eastAsia="en-GB"/>
        </w:rPr>
        <w:t xml:space="preserve"> </w:t>
      </w:r>
      <w:r w:rsidR="00B6332C">
        <w:rPr>
          <w:rFonts w:eastAsia="Times New Roman" w:cs="Arial"/>
          <w:color w:val="000000"/>
          <w:szCs w:val="24"/>
          <w:lang w:eastAsia="en-GB"/>
        </w:rPr>
        <w:t>C</w:t>
      </w:r>
      <w:r w:rsidR="00B95C69">
        <w:rPr>
          <w:rFonts w:eastAsia="Times New Roman" w:cs="Arial"/>
          <w:color w:val="000000"/>
          <w:szCs w:val="24"/>
          <w:lang w:eastAsia="en-GB"/>
        </w:rPr>
        <w:t>abinet</w:t>
      </w:r>
      <w:r w:rsidR="00B6332C">
        <w:rPr>
          <w:rFonts w:eastAsia="Times New Roman" w:cs="Arial"/>
          <w:color w:val="000000"/>
          <w:szCs w:val="24"/>
          <w:lang w:eastAsia="en-GB"/>
        </w:rPr>
        <w:t>'s agenda.</w:t>
      </w:r>
      <w:r w:rsidR="00B6332C" w:rsidRPr="002460FB" w:rsidDel="00B6332C">
        <w:rPr>
          <w:rFonts w:eastAsia="Times New Roman" w:cs="Arial"/>
          <w:color w:val="000000"/>
          <w:szCs w:val="24"/>
          <w:lang w:eastAsia="en-GB"/>
        </w:rPr>
        <w:t xml:space="preserve"> </w:t>
      </w:r>
    </w:p>
    <w:p w:rsidR="000A695D" w:rsidRDefault="000A695D" w:rsidP="000738F4">
      <w:pPr>
        <w:spacing w:after="0" w:line="240" w:lineRule="auto"/>
        <w:ind w:left="90"/>
        <w:jc w:val="both"/>
      </w:pPr>
    </w:p>
    <w:p w:rsidR="00F56D78" w:rsidRPr="000A695D" w:rsidRDefault="000A695D" w:rsidP="000738F4">
      <w:pPr>
        <w:ind w:hanging="567"/>
        <w:jc w:val="both"/>
        <w:rPr>
          <w:b/>
        </w:rPr>
      </w:pPr>
      <w:r>
        <w:rPr>
          <w:b/>
        </w:rPr>
        <w:t>3.10</w:t>
      </w:r>
      <w:r>
        <w:rPr>
          <w:b/>
        </w:rPr>
        <w:tab/>
      </w:r>
      <w:r w:rsidR="00F56D78" w:rsidRPr="000A695D">
        <w:rPr>
          <w:b/>
        </w:rPr>
        <w:t>Other budgets</w:t>
      </w:r>
    </w:p>
    <w:p w:rsidR="0012578C" w:rsidRPr="0012578C" w:rsidRDefault="0012578C" w:rsidP="000738F4">
      <w:pPr>
        <w:jc w:val="both"/>
      </w:pPr>
      <w:r w:rsidRPr="0012578C">
        <w:t>The level of grant for the 2013/14 Council Tax freeze is greater than forecast realising an underspend of £0.609m.</w:t>
      </w:r>
    </w:p>
    <w:p w:rsidR="00ED7B25" w:rsidRDefault="0012578C" w:rsidP="000738F4">
      <w:pPr>
        <w:jc w:val="both"/>
      </w:pPr>
      <w:r w:rsidRPr="0012578C">
        <w:t>Based on activity in the year to date it is forecast that the budget set aside for Council tax Hardship claims will underspend by £0.700m</w:t>
      </w:r>
      <w:r w:rsidR="00FF2197">
        <w:t xml:space="preserve"> in 2013/14</w:t>
      </w:r>
      <w:r w:rsidRPr="0012578C">
        <w:t>.</w:t>
      </w:r>
      <w:r w:rsidR="00447890">
        <w:t xml:space="preserve"> Cabinet approved at its meeti</w:t>
      </w:r>
      <w:r w:rsidR="00FF2197">
        <w:t>ng on 5</w:t>
      </w:r>
      <w:r w:rsidR="00FF2197" w:rsidRPr="00FF2197">
        <w:rPr>
          <w:vertAlign w:val="superscript"/>
        </w:rPr>
        <w:t>th</w:t>
      </w:r>
      <w:r w:rsidR="00FF2197">
        <w:t xml:space="preserve"> December 2013</w:t>
      </w:r>
      <w:r w:rsidR="000738F4">
        <w:t xml:space="preserve"> that </w:t>
      </w:r>
      <w:proofErr w:type="gramStart"/>
      <w:r w:rsidR="000738F4">
        <w:t xml:space="preserve">the </w:t>
      </w:r>
      <w:r w:rsidR="00447890">
        <w:t>underspend</w:t>
      </w:r>
      <w:proofErr w:type="gramEnd"/>
      <w:r w:rsidR="00447890">
        <w:t xml:space="preserve"> </w:t>
      </w:r>
      <w:r w:rsidR="00FF2197">
        <w:t xml:space="preserve">on Hardship Claims in 2013/14 should be transferred into an earmarked reserve to be available to </w:t>
      </w:r>
      <w:r w:rsidR="000A695D">
        <w:t xml:space="preserve">support expenditure </w:t>
      </w:r>
      <w:r w:rsidR="00FF2197">
        <w:t>in future years.</w:t>
      </w:r>
    </w:p>
    <w:p w:rsidR="0012578C" w:rsidRPr="000A695D" w:rsidRDefault="000A695D" w:rsidP="000738F4">
      <w:pPr>
        <w:ind w:hanging="567"/>
        <w:jc w:val="both"/>
        <w:rPr>
          <w:b/>
        </w:rPr>
      </w:pPr>
      <w:r>
        <w:rPr>
          <w:b/>
        </w:rPr>
        <w:t>3.11</w:t>
      </w:r>
      <w:r>
        <w:rPr>
          <w:b/>
        </w:rPr>
        <w:tab/>
      </w:r>
      <w:r w:rsidR="0012578C" w:rsidRPr="000A695D">
        <w:rPr>
          <w:b/>
        </w:rPr>
        <w:t>Capital financing costs</w:t>
      </w:r>
    </w:p>
    <w:p w:rsidR="0096375E" w:rsidRPr="000738F4" w:rsidRDefault="00E90994" w:rsidP="000738F4">
      <w:pPr>
        <w:jc w:val="both"/>
      </w:pPr>
      <w:r>
        <w:t xml:space="preserve">The budget for capital financing costs is forecast to break even at the end of the </w:t>
      </w:r>
      <w:r w:rsidR="000A695D">
        <w:t>y</w:t>
      </w:r>
      <w:r>
        <w:t xml:space="preserve">ear, this reflects a reduction in underspend from the position last reported to </w:t>
      </w:r>
      <w:r w:rsidR="00FD72EF">
        <w:t>C</w:t>
      </w:r>
      <w:r>
        <w:t>abinet of £1.2m. The change in forecast reflects a restructuring of the Council's debt portfolio to mitigate falling interest rates and protect the level of interest income the council will receive in future periods.</w:t>
      </w:r>
    </w:p>
    <w:p w:rsidR="00B151BE" w:rsidRPr="007A1B72" w:rsidRDefault="00DF35E4" w:rsidP="00DF35E4">
      <w:pPr>
        <w:pStyle w:val="ListParagraph"/>
        <w:numPr>
          <w:ilvl w:val="0"/>
          <w:numId w:val="32"/>
        </w:numPr>
        <w:ind w:left="0" w:hanging="567"/>
        <w:jc w:val="both"/>
        <w:rPr>
          <w:b/>
          <w:sz w:val="28"/>
          <w:szCs w:val="28"/>
        </w:rPr>
      </w:pPr>
      <w:r w:rsidRPr="007A1B72">
        <w:rPr>
          <w:b/>
          <w:sz w:val="28"/>
          <w:szCs w:val="28"/>
        </w:rPr>
        <w:t>Section B</w:t>
      </w:r>
      <w:r w:rsidR="00154393" w:rsidRPr="007A1B72">
        <w:rPr>
          <w:b/>
          <w:sz w:val="28"/>
          <w:szCs w:val="28"/>
        </w:rPr>
        <w:t xml:space="preserve"> - </w:t>
      </w:r>
      <w:r w:rsidR="00195739" w:rsidRPr="007A1B72">
        <w:rPr>
          <w:b/>
          <w:sz w:val="28"/>
          <w:szCs w:val="28"/>
        </w:rPr>
        <w:t xml:space="preserve">The </w:t>
      </w:r>
      <w:r w:rsidR="00E47245" w:rsidRPr="007A1B72">
        <w:rPr>
          <w:b/>
          <w:sz w:val="28"/>
          <w:szCs w:val="28"/>
        </w:rPr>
        <w:t>2013</w:t>
      </w:r>
      <w:r w:rsidR="000E2FBD" w:rsidRPr="007A1B72">
        <w:rPr>
          <w:b/>
          <w:sz w:val="28"/>
          <w:szCs w:val="28"/>
        </w:rPr>
        <w:t>/14</w:t>
      </w:r>
      <w:r w:rsidR="00E47245" w:rsidRPr="007A1B72">
        <w:rPr>
          <w:b/>
          <w:sz w:val="28"/>
          <w:szCs w:val="28"/>
        </w:rPr>
        <w:t xml:space="preserve"> </w:t>
      </w:r>
      <w:r w:rsidR="00195739" w:rsidRPr="007A1B72">
        <w:rPr>
          <w:b/>
          <w:sz w:val="28"/>
          <w:szCs w:val="28"/>
        </w:rPr>
        <w:t xml:space="preserve">Capital </w:t>
      </w:r>
      <w:r w:rsidR="00474209" w:rsidRPr="007A1B72">
        <w:rPr>
          <w:b/>
          <w:sz w:val="28"/>
          <w:szCs w:val="28"/>
        </w:rPr>
        <w:t xml:space="preserve">Investment </w:t>
      </w:r>
      <w:r w:rsidR="00195739" w:rsidRPr="007A1B72">
        <w:rPr>
          <w:b/>
          <w:sz w:val="28"/>
          <w:szCs w:val="28"/>
        </w:rPr>
        <w:t>Programme</w:t>
      </w:r>
    </w:p>
    <w:p w:rsidR="00DB5AA0" w:rsidRPr="00DB5AA0" w:rsidRDefault="00DB5AA0" w:rsidP="000738F4">
      <w:pPr>
        <w:jc w:val="both"/>
        <w:rPr>
          <w:rFonts w:eastAsia="Calibri" w:cs="Times New Roman"/>
          <w:szCs w:val="24"/>
        </w:rPr>
      </w:pPr>
      <w:r w:rsidRPr="00DB5AA0">
        <w:rPr>
          <w:rFonts w:eastAsia="Calibri" w:cs="Times New Roman"/>
          <w:szCs w:val="24"/>
        </w:rPr>
        <w:t xml:space="preserve">In February 2013 the Council agreed a capital investment programme of £172.912m. Adjusting for </w:t>
      </w:r>
      <w:r w:rsidR="00F96D41">
        <w:rPr>
          <w:rFonts w:eastAsia="Calibri" w:cs="Times New Roman"/>
          <w:szCs w:val="24"/>
        </w:rPr>
        <w:t>slippage</w:t>
      </w:r>
      <w:r w:rsidR="00F96D41" w:rsidRPr="00DB5AA0">
        <w:rPr>
          <w:rFonts w:eastAsia="Calibri" w:cs="Times New Roman"/>
          <w:szCs w:val="24"/>
        </w:rPr>
        <w:t xml:space="preserve"> </w:t>
      </w:r>
      <w:r w:rsidRPr="00DB5AA0">
        <w:rPr>
          <w:rFonts w:eastAsia="Calibri" w:cs="Times New Roman"/>
          <w:szCs w:val="24"/>
        </w:rPr>
        <w:t xml:space="preserve">from 2012/13 and new approvals the </w:t>
      </w:r>
      <w:r w:rsidR="006A6C12">
        <w:rPr>
          <w:rFonts w:eastAsia="Calibri" w:cs="Times New Roman"/>
          <w:szCs w:val="24"/>
        </w:rPr>
        <w:t xml:space="preserve">2013/14 </w:t>
      </w:r>
      <w:r w:rsidRPr="00DB5AA0">
        <w:rPr>
          <w:rFonts w:eastAsia="Calibri" w:cs="Times New Roman"/>
          <w:szCs w:val="24"/>
        </w:rPr>
        <w:t xml:space="preserve">programme is currently £202.069m. Within the new approvals figure is an amount anticipated to be spent on the Heysham to M6 link road in </w:t>
      </w:r>
      <w:r w:rsidR="00F96D41">
        <w:rPr>
          <w:rFonts w:eastAsia="Calibri" w:cs="Times New Roman"/>
          <w:szCs w:val="24"/>
        </w:rPr>
        <w:t>2013/14</w:t>
      </w:r>
      <w:r w:rsidRPr="00DB5AA0">
        <w:rPr>
          <w:rFonts w:eastAsia="Calibri" w:cs="Times New Roman"/>
          <w:szCs w:val="24"/>
        </w:rPr>
        <w:t xml:space="preserve"> following confirmation from the Department of Transport </w:t>
      </w:r>
      <w:r w:rsidR="00F96D41">
        <w:rPr>
          <w:rFonts w:eastAsia="Calibri" w:cs="Times New Roman"/>
          <w:szCs w:val="24"/>
        </w:rPr>
        <w:t>of</w:t>
      </w:r>
      <w:r w:rsidRPr="00DB5AA0">
        <w:rPr>
          <w:rFonts w:eastAsia="Calibri" w:cs="Times New Roman"/>
          <w:szCs w:val="24"/>
        </w:rPr>
        <w:t xml:space="preserve"> grant funding.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5"/>
        <w:gridCol w:w="1843"/>
      </w:tblGrid>
      <w:tr w:rsidR="00DB5AA0" w:rsidRPr="00F96D41" w:rsidTr="00F96D41">
        <w:tc>
          <w:tcPr>
            <w:tcW w:w="6095" w:type="dxa"/>
          </w:tcPr>
          <w:p w:rsidR="00DB5AA0" w:rsidRPr="00F96D41" w:rsidRDefault="00DB5AA0" w:rsidP="00DB5AA0">
            <w:pPr>
              <w:spacing w:after="0" w:line="240" w:lineRule="auto"/>
              <w:rPr>
                <w:rFonts w:eastAsia="Calibri" w:cs="Times New Roman"/>
                <w:szCs w:val="24"/>
              </w:rPr>
            </w:pPr>
          </w:p>
        </w:tc>
        <w:tc>
          <w:tcPr>
            <w:tcW w:w="1843" w:type="dxa"/>
          </w:tcPr>
          <w:p w:rsidR="00DB5AA0" w:rsidRPr="00F96D41" w:rsidRDefault="00E8122E" w:rsidP="00DB5AA0">
            <w:pPr>
              <w:spacing w:after="0" w:line="240" w:lineRule="auto"/>
              <w:jc w:val="center"/>
              <w:rPr>
                <w:rFonts w:eastAsia="Calibri" w:cs="Times New Roman"/>
                <w:szCs w:val="24"/>
              </w:rPr>
            </w:pPr>
            <w:r w:rsidRPr="00E8122E">
              <w:rPr>
                <w:rFonts w:eastAsia="Calibri" w:cs="Times New Roman"/>
                <w:szCs w:val="24"/>
              </w:rPr>
              <w:t>£m</w:t>
            </w:r>
          </w:p>
        </w:tc>
      </w:tr>
      <w:tr w:rsidR="00DB5AA0" w:rsidRPr="00F96D41" w:rsidTr="00F96D41">
        <w:tc>
          <w:tcPr>
            <w:tcW w:w="6095" w:type="dxa"/>
          </w:tcPr>
          <w:p w:rsidR="00DB5AA0" w:rsidRPr="00F96D41" w:rsidRDefault="00E8122E" w:rsidP="00DB5AA0">
            <w:pPr>
              <w:spacing w:after="0" w:line="240" w:lineRule="auto"/>
              <w:rPr>
                <w:rFonts w:eastAsia="Calibri" w:cs="Times New Roman"/>
                <w:szCs w:val="24"/>
              </w:rPr>
            </w:pPr>
            <w:r w:rsidRPr="00E8122E">
              <w:rPr>
                <w:rFonts w:eastAsia="Calibri" w:cs="Times New Roman"/>
                <w:szCs w:val="24"/>
              </w:rPr>
              <w:t>Original Programme</w:t>
            </w:r>
          </w:p>
        </w:tc>
        <w:tc>
          <w:tcPr>
            <w:tcW w:w="1843" w:type="dxa"/>
          </w:tcPr>
          <w:p w:rsidR="00DB5AA0" w:rsidRPr="00F96D41" w:rsidRDefault="00E8122E" w:rsidP="00DB5AA0">
            <w:pPr>
              <w:spacing w:after="0" w:line="240" w:lineRule="auto"/>
              <w:jc w:val="right"/>
              <w:rPr>
                <w:rFonts w:eastAsia="Calibri" w:cs="Times New Roman"/>
                <w:szCs w:val="24"/>
              </w:rPr>
            </w:pPr>
            <w:r w:rsidRPr="00E8122E">
              <w:rPr>
                <w:rFonts w:eastAsia="Calibri" w:cs="Times New Roman"/>
                <w:szCs w:val="24"/>
              </w:rPr>
              <w:t>172.912</w:t>
            </w:r>
          </w:p>
        </w:tc>
      </w:tr>
      <w:tr w:rsidR="00DB5AA0" w:rsidRPr="00F96D41" w:rsidTr="00F96D41">
        <w:tc>
          <w:tcPr>
            <w:tcW w:w="6095" w:type="dxa"/>
          </w:tcPr>
          <w:p w:rsidR="00DB5AA0" w:rsidRPr="00F96D41" w:rsidRDefault="00E8122E" w:rsidP="00DB5AA0">
            <w:pPr>
              <w:spacing w:after="0" w:line="240" w:lineRule="auto"/>
              <w:rPr>
                <w:rFonts w:eastAsia="Calibri" w:cs="Times New Roman"/>
                <w:szCs w:val="24"/>
              </w:rPr>
            </w:pPr>
            <w:r w:rsidRPr="00E8122E">
              <w:rPr>
                <w:rFonts w:eastAsia="Calibri" w:cs="Times New Roman"/>
                <w:szCs w:val="24"/>
              </w:rPr>
              <w:t>Variation from 2012/13</w:t>
            </w:r>
          </w:p>
        </w:tc>
        <w:tc>
          <w:tcPr>
            <w:tcW w:w="1843" w:type="dxa"/>
          </w:tcPr>
          <w:p w:rsidR="00DB5AA0" w:rsidRPr="00F96D41" w:rsidRDefault="00E8122E" w:rsidP="00DB5AA0">
            <w:pPr>
              <w:spacing w:after="0" w:line="240" w:lineRule="auto"/>
              <w:jc w:val="right"/>
              <w:rPr>
                <w:rFonts w:eastAsia="Calibri" w:cs="Times New Roman"/>
                <w:szCs w:val="24"/>
              </w:rPr>
            </w:pPr>
            <w:r w:rsidRPr="00E8122E">
              <w:rPr>
                <w:rFonts w:eastAsia="Calibri" w:cs="Times New Roman"/>
                <w:szCs w:val="24"/>
              </w:rPr>
              <w:t>4.201</w:t>
            </w:r>
          </w:p>
        </w:tc>
      </w:tr>
      <w:tr w:rsidR="00DB5AA0" w:rsidRPr="00F96D41" w:rsidTr="00F96D41">
        <w:tc>
          <w:tcPr>
            <w:tcW w:w="6095" w:type="dxa"/>
          </w:tcPr>
          <w:p w:rsidR="00DB5AA0" w:rsidRPr="00F96D41" w:rsidRDefault="00E8122E" w:rsidP="00DB5AA0">
            <w:pPr>
              <w:spacing w:after="0" w:line="240" w:lineRule="auto"/>
              <w:rPr>
                <w:rFonts w:eastAsia="Calibri" w:cs="Times New Roman"/>
                <w:szCs w:val="24"/>
              </w:rPr>
            </w:pPr>
            <w:r w:rsidRPr="00E8122E">
              <w:rPr>
                <w:rFonts w:eastAsia="Calibri" w:cs="Times New Roman"/>
                <w:szCs w:val="24"/>
              </w:rPr>
              <w:t>New Approvals</w:t>
            </w:r>
          </w:p>
        </w:tc>
        <w:tc>
          <w:tcPr>
            <w:tcW w:w="1843" w:type="dxa"/>
          </w:tcPr>
          <w:p w:rsidR="00DB5AA0" w:rsidRPr="00F96D41" w:rsidRDefault="00E8122E" w:rsidP="00DB5AA0">
            <w:pPr>
              <w:spacing w:after="0" w:line="240" w:lineRule="auto"/>
              <w:jc w:val="right"/>
              <w:rPr>
                <w:rFonts w:eastAsia="Calibri" w:cs="Times New Roman"/>
                <w:szCs w:val="24"/>
              </w:rPr>
            </w:pPr>
            <w:r w:rsidRPr="00E8122E">
              <w:rPr>
                <w:rFonts w:eastAsia="Calibri" w:cs="Times New Roman"/>
                <w:szCs w:val="24"/>
              </w:rPr>
              <w:t>24.956</w:t>
            </w:r>
          </w:p>
        </w:tc>
      </w:tr>
      <w:tr w:rsidR="00DB5AA0" w:rsidRPr="006A6C12" w:rsidTr="006A6C12">
        <w:trPr>
          <w:trHeight w:val="414"/>
        </w:trPr>
        <w:tc>
          <w:tcPr>
            <w:tcW w:w="6095" w:type="dxa"/>
            <w:vAlign w:val="center"/>
          </w:tcPr>
          <w:p w:rsidR="00DB5AA0" w:rsidRPr="006A6C12" w:rsidRDefault="00E8122E" w:rsidP="006A6C12">
            <w:pPr>
              <w:spacing w:after="0" w:line="240" w:lineRule="auto"/>
              <w:rPr>
                <w:rFonts w:eastAsia="Calibri" w:cs="Times New Roman"/>
                <w:b/>
                <w:szCs w:val="24"/>
              </w:rPr>
            </w:pPr>
            <w:r w:rsidRPr="006A6C12">
              <w:rPr>
                <w:rFonts w:eastAsia="Calibri" w:cs="Times New Roman"/>
                <w:b/>
                <w:szCs w:val="24"/>
              </w:rPr>
              <w:t>Programme 2013/14</w:t>
            </w:r>
          </w:p>
        </w:tc>
        <w:tc>
          <w:tcPr>
            <w:tcW w:w="1843" w:type="dxa"/>
            <w:vAlign w:val="center"/>
          </w:tcPr>
          <w:p w:rsidR="00DB5AA0" w:rsidRPr="006A6C12" w:rsidRDefault="00E8122E" w:rsidP="006A6C12">
            <w:pPr>
              <w:spacing w:after="0" w:line="240" w:lineRule="auto"/>
              <w:jc w:val="right"/>
              <w:rPr>
                <w:rFonts w:eastAsia="Calibri" w:cs="Times New Roman"/>
                <w:b/>
                <w:szCs w:val="24"/>
              </w:rPr>
            </w:pPr>
            <w:r w:rsidRPr="006A6C12">
              <w:rPr>
                <w:rFonts w:eastAsia="Calibri" w:cs="Times New Roman"/>
                <w:b/>
                <w:szCs w:val="24"/>
              </w:rPr>
              <w:t>202.069</w:t>
            </w:r>
          </w:p>
        </w:tc>
      </w:tr>
    </w:tbl>
    <w:p w:rsidR="00FD72EF" w:rsidRDefault="00FD72EF" w:rsidP="00DB5AA0">
      <w:pPr>
        <w:rPr>
          <w:rFonts w:eastAsia="Calibri" w:cs="Times New Roman"/>
          <w:szCs w:val="24"/>
        </w:rPr>
      </w:pPr>
    </w:p>
    <w:p w:rsidR="00DB5AA0" w:rsidRPr="00DB5AA0" w:rsidRDefault="00DB5AA0" w:rsidP="00DB5AA0">
      <w:pPr>
        <w:rPr>
          <w:rFonts w:eastAsia="Calibri" w:cs="Times New Roman"/>
          <w:szCs w:val="24"/>
        </w:rPr>
      </w:pPr>
      <w:r w:rsidRPr="00DB5AA0">
        <w:rPr>
          <w:rFonts w:eastAsia="Calibri" w:cs="Times New Roman"/>
          <w:szCs w:val="24"/>
        </w:rPr>
        <w:t>The forecast position by Directorate is shown in the table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2"/>
        <w:gridCol w:w="1624"/>
        <w:gridCol w:w="1827"/>
        <w:gridCol w:w="1753"/>
        <w:gridCol w:w="1204"/>
        <w:gridCol w:w="912"/>
      </w:tblGrid>
      <w:tr w:rsidR="0045438C" w:rsidRPr="006A6C12" w:rsidTr="006A6C12">
        <w:tc>
          <w:tcPr>
            <w:tcW w:w="0" w:type="auto"/>
            <w:tcBorders>
              <w:bottom w:val="nil"/>
            </w:tcBorders>
          </w:tcPr>
          <w:p w:rsidR="0045438C" w:rsidRPr="006A6C12" w:rsidRDefault="0045438C" w:rsidP="00DB5AA0">
            <w:pPr>
              <w:spacing w:after="0" w:line="240" w:lineRule="auto"/>
              <w:rPr>
                <w:rFonts w:eastAsia="Calibri" w:cs="Times New Roman"/>
                <w:b/>
                <w:szCs w:val="24"/>
              </w:rPr>
            </w:pPr>
          </w:p>
        </w:tc>
        <w:tc>
          <w:tcPr>
            <w:tcW w:w="0" w:type="auto"/>
          </w:tcPr>
          <w:p w:rsidR="0045438C" w:rsidRPr="006A6C12" w:rsidRDefault="0045438C" w:rsidP="00260A69">
            <w:pPr>
              <w:spacing w:after="0" w:line="240" w:lineRule="auto"/>
              <w:jc w:val="center"/>
              <w:rPr>
                <w:rFonts w:eastAsia="Calibri" w:cs="Times New Roman"/>
                <w:b/>
                <w:szCs w:val="24"/>
              </w:rPr>
            </w:pPr>
            <w:r w:rsidRPr="006A6C12">
              <w:rPr>
                <w:rFonts w:eastAsia="Calibri" w:cs="Times New Roman"/>
                <w:b/>
                <w:sz w:val="22"/>
                <w:szCs w:val="24"/>
              </w:rPr>
              <w:t>Approved Programme</w:t>
            </w:r>
          </w:p>
        </w:tc>
        <w:tc>
          <w:tcPr>
            <w:tcW w:w="0" w:type="auto"/>
          </w:tcPr>
          <w:p w:rsidR="0045438C" w:rsidRPr="006A6C12" w:rsidRDefault="0045438C" w:rsidP="00DB5AA0">
            <w:pPr>
              <w:spacing w:after="0" w:line="240" w:lineRule="auto"/>
              <w:jc w:val="center"/>
              <w:rPr>
                <w:rFonts w:eastAsia="Calibri" w:cs="Times New Roman"/>
                <w:b/>
                <w:szCs w:val="24"/>
              </w:rPr>
            </w:pPr>
            <w:r w:rsidRPr="006A6C12">
              <w:rPr>
                <w:rFonts w:eastAsia="Calibri" w:cs="Times New Roman"/>
                <w:b/>
                <w:sz w:val="22"/>
                <w:szCs w:val="24"/>
              </w:rPr>
              <w:t>Forecast</w:t>
            </w:r>
          </w:p>
          <w:p w:rsidR="0045438C" w:rsidRPr="006A6C12" w:rsidRDefault="0045438C" w:rsidP="00260A69">
            <w:pPr>
              <w:spacing w:after="0" w:line="240" w:lineRule="auto"/>
              <w:jc w:val="center"/>
              <w:rPr>
                <w:rFonts w:eastAsia="Calibri" w:cs="Times New Roman"/>
                <w:b/>
                <w:szCs w:val="24"/>
              </w:rPr>
            </w:pPr>
            <w:r w:rsidRPr="006A6C12">
              <w:rPr>
                <w:rFonts w:eastAsia="Calibri" w:cs="Times New Roman"/>
                <w:b/>
                <w:sz w:val="22"/>
                <w:szCs w:val="24"/>
              </w:rPr>
              <w:t>End of Year Position as at September</w:t>
            </w:r>
          </w:p>
        </w:tc>
        <w:tc>
          <w:tcPr>
            <w:tcW w:w="0" w:type="auto"/>
          </w:tcPr>
          <w:p w:rsidR="0045438C" w:rsidRPr="006A6C12" w:rsidRDefault="0045438C" w:rsidP="00F96D41">
            <w:pPr>
              <w:spacing w:after="0" w:line="240" w:lineRule="auto"/>
              <w:jc w:val="center"/>
              <w:rPr>
                <w:rFonts w:eastAsia="Calibri" w:cs="Times New Roman"/>
                <w:b/>
                <w:szCs w:val="24"/>
              </w:rPr>
            </w:pPr>
            <w:r w:rsidRPr="006A6C12">
              <w:rPr>
                <w:rFonts w:eastAsia="Calibri" w:cs="Times New Roman"/>
                <w:b/>
                <w:sz w:val="22"/>
                <w:szCs w:val="24"/>
              </w:rPr>
              <w:t>Forecast</w:t>
            </w:r>
          </w:p>
          <w:p w:rsidR="0045438C" w:rsidRPr="006A6C12" w:rsidRDefault="0045438C" w:rsidP="00F96D41">
            <w:pPr>
              <w:spacing w:after="0" w:line="240" w:lineRule="auto"/>
              <w:jc w:val="center"/>
              <w:rPr>
                <w:rFonts w:eastAsia="Calibri" w:cs="Times New Roman"/>
                <w:b/>
                <w:szCs w:val="24"/>
              </w:rPr>
            </w:pPr>
            <w:r w:rsidRPr="006A6C12">
              <w:rPr>
                <w:rFonts w:eastAsia="Calibri" w:cs="Times New Roman"/>
                <w:b/>
                <w:sz w:val="22"/>
                <w:szCs w:val="24"/>
              </w:rPr>
              <w:t>End of Year Position as at December</w:t>
            </w:r>
          </w:p>
          <w:p w:rsidR="0045438C" w:rsidRPr="006A6C12" w:rsidRDefault="0045438C" w:rsidP="00260A69">
            <w:pPr>
              <w:spacing w:after="0" w:line="240" w:lineRule="auto"/>
              <w:jc w:val="center"/>
              <w:rPr>
                <w:rFonts w:eastAsia="Calibri" w:cs="Times New Roman"/>
                <w:b/>
                <w:szCs w:val="24"/>
              </w:rPr>
            </w:pPr>
          </w:p>
        </w:tc>
        <w:tc>
          <w:tcPr>
            <w:tcW w:w="0" w:type="auto"/>
            <w:gridSpan w:val="2"/>
          </w:tcPr>
          <w:p w:rsidR="0045438C" w:rsidRPr="006A6C12" w:rsidRDefault="0045438C" w:rsidP="00DB5AA0">
            <w:pPr>
              <w:spacing w:after="0" w:line="240" w:lineRule="auto"/>
              <w:jc w:val="center"/>
              <w:rPr>
                <w:rFonts w:eastAsia="Calibri" w:cs="Times New Roman"/>
                <w:b/>
                <w:szCs w:val="24"/>
              </w:rPr>
            </w:pPr>
            <w:r w:rsidRPr="006A6C12">
              <w:rPr>
                <w:rFonts w:eastAsia="Calibri" w:cs="Times New Roman"/>
                <w:b/>
                <w:szCs w:val="24"/>
              </w:rPr>
              <w:t>Change in Forecast since previous report</w:t>
            </w:r>
          </w:p>
        </w:tc>
      </w:tr>
      <w:tr w:rsidR="0045438C" w:rsidRPr="006A6C12" w:rsidTr="006A6C12">
        <w:tc>
          <w:tcPr>
            <w:tcW w:w="0" w:type="auto"/>
            <w:tcBorders>
              <w:top w:val="nil"/>
            </w:tcBorders>
          </w:tcPr>
          <w:p w:rsidR="0045438C" w:rsidRPr="006A6C12" w:rsidRDefault="0045438C" w:rsidP="00DB5AA0">
            <w:pPr>
              <w:spacing w:after="0" w:line="240" w:lineRule="auto"/>
              <w:rPr>
                <w:rFonts w:eastAsia="Calibri" w:cs="Times New Roman"/>
                <w:b/>
                <w:szCs w:val="24"/>
              </w:rPr>
            </w:pPr>
          </w:p>
        </w:tc>
        <w:tc>
          <w:tcPr>
            <w:tcW w:w="0" w:type="auto"/>
          </w:tcPr>
          <w:p w:rsidR="0045438C" w:rsidRPr="006A6C12" w:rsidRDefault="0045438C" w:rsidP="00260A69">
            <w:pPr>
              <w:spacing w:after="0" w:line="240" w:lineRule="auto"/>
              <w:jc w:val="center"/>
              <w:rPr>
                <w:rFonts w:eastAsia="Calibri" w:cs="Times New Roman"/>
                <w:b/>
                <w:szCs w:val="24"/>
              </w:rPr>
            </w:pPr>
            <w:r w:rsidRPr="006A6C12">
              <w:rPr>
                <w:rFonts w:eastAsia="Calibri" w:cs="Times New Roman"/>
                <w:b/>
                <w:sz w:val="22"/>
                <w:szCs w:val="24"/>
              </w:rPr>
              <w:t>£m</w:t>
            </w:r>
          </w:p>
        </w:tc>
        <w:tc>
          <w:tcPr>
            <w:tcW w:w="0" w:type="auto"/>
          </w:tcPr>
          <w:p w:rsidR="0045438C" w:rsidRPr="006A6C12" w:rsidRDefault="0045438C" w:rsidP="00260A69">
            <w:pPr>
              <w:spacing w:after="0" w:line="240" w:lineRule="auto"/>
              <w:jc w:val="center"/>
              <w:rPr>
                <w:rFonts w:eastAsia="Calibri" w:cs="Times New Roman"/>
                <w:b/>
                <w:szCs w:val="24"/>
              </w:rPr>
            </w:pPr>
            <w:r w:rsidRPr="006A6C12">
              <w:rPr>
                <w:rFonts w:eastAsia="Calibri" w:cs="Times New Roman"/>
                <w:b/>
                <w:sz w:val="22"/>
                <w:szCs w:val="24"/>
              </w:rPr>
              <w:t>£m</w:t>
            </w:r>
          </w:p>
        </w:tc>
        <w:tc>
          <w:tcPr>
            <w:tcW w:w="0" w:type="auto"/>
          </w:tcPr>
          <w:p w:rsidR="0045438C" w:rsidRPr="006A6C12" w:rsidRDefault="0045438C" w:rsidP="00260A69">
            <w:pPr>
              <w:spacing w:after="0" w:line="240" w:lineRule="auto"/>
              <w:jc w:val="center"/>
              <w:rPr>
                <w:rFonts w:eastAsia="Calibri" w:cs="Times New Roman"/>
                <w:b/>
                <w:szCs w:val="24"/>
              </w:rPr>
            </w:pPr>
            <w:r w:rsidRPr="006A6C12">
              <w:rPr>
                <w:rFonts w:eastAsia="Calibri" w:cs="Times New Roman"/>
                <w:b/>
                <w:sz w:val="22"/>
                <w:szCs w:val="24"/>
              </w:rPr>
              <w:t>£m</w:t>
            </w:r>
          </w:p>
        </w:tc>
        <w:tc>
          <w:tcPr>
            <w:tcW w:w="0" w:type="auto"/>
          </w:tcPr>
          <w:p w:rsidR="0045438C" w:rsidRPr="006A6C12" w:rsidRDefault="0045438C" w:rsidP="00260A69">
            <w:pPr>
              <w:spacing w:after="0" w:line="240" w:lineRule="auto"/>
              <w:jc w:val="center"/>
              <w:rPr>
                <w:rFonts w:eastAsia="Calibri" w:cs="Times New Roman"/>
                <w:b/>
                <w:szCs w:val="24"/>
              </w:rPr>
            </w:pPr>
            <w:r w:rsidRPr="006A6C12">
              <w:rPr>
                <w:rFonts w:eastAsia="Calibri" w:cs="Times New Roman"/>
                <w:b/>
                <w:sz w:val="22"/>
                <w:szCs w:val="24"/>
              </w:rPr>
              <w:t>£m</w:t>
            </w:r>
          </w:p>
        </w:tc>
        <w:tc>
          <w:tcPr>
            <w:tcW w:w="0" w:type="auto"/>
          </w:tcPr>
          <w:p w:rsidR="0045438C" w:rsidRPr="006A6C12" w:rsidRDefault="0045438C" w:rsidP="00260A69">
            <w:pPr>
              <w:spacing w:after="0" w:line="240" w:lineRule="auto"/>
              <w:jc w:val="center"/>
              <w:rPr>
                <w:rFonts w:eastAsia="Calibri" w:cs="Times New Roman"/>
                <w:b/>
                <w:szCs w:val="24"/>
              </w:rPr>
            </w:pPr>
            <w:r w:rsidRPr="006A6C12">
              <w:rPr>
                <w:rFonts w:eastAsia="Calibri" w:cs="Times New Roman"/>
                <w:b/>
                <w:sz w:val="22"/>
                <w:szCs w:val="24"/>
              </w:rPr>
              <w:t>%</w:t>
            </w:r>
          </w:p>
        </w:tc>
      </w:tr>
      <w:tr w:rsidR="0045438C" w:rsidRPr="00DB5AA0" w:rsidTr="0045438C">
        <w:tc>
          <w:tcPr>
            <w:tcW w:w="0" w:type="auto"/>
          </w:tcPr>
          <w:p w:rsidR="0045438C" w:rsidRPr="00DB5AA0" w:rsidRDefault="0045438C" w:rsidP="00DB5AA0">
            <w:pPr>
              <w:spacing w:after="0" w:line="240" w:lineRule="auto"/>
              <w:rPr>
                <w:rFonts w:eastAsia="Calibri" w:cs="Times New Roman"/>
                <w:szCs w:val="24"/>
              </w:rPr>
            </w:pPr>
            <w:r w:rsidRPr="00DB5AA0">
              <w:rPr>
                <w:rFonts w:eastAsia="Calibri" w:cs="Times New Roman"/>
                <w:sz w:val="22"/>
                <w:szCs w:val="24"/>
              </w:rPr>
              <w:t xml:space="preserve">Adult Services and Health and Wellbeing </w:t>
            </w:r>
          </w:p>
        </w:tc>
        <w:tc>
          <w:tcPr>
            <w:tcW w:w="0" w:type="auto"/>
          </w:tcPr>
          <w:p w:rsidR="0045438C" w:rsidRPr="00DB5AA0" w:rsidRDefault="0045438C" w:rsidP="00DB5AA0">
            <w:pPr>
              <w:spacing w:after="0" w:line="240" w:lineRule="auto"/>
              <w:jc w:val="right"/>
              <w:rPr>
                <w:rFonts w:eastAsia="Calibri" w:cs="Times New Roman"/>
                <w:szCs w:val="24"/>
              </w:rPr>
            </w:pPr>
            <w:r w:rsidRPr="00DB5AA0">
              <w:rPr>
                <w:rFonts w:eastAsia="Calibri" w:cs="Times New Roman"/>
                <w:sz w:val="22"/>
                <w:szCs w:val="24"/>
              </w:rPr>
              <w:t>6.018</w:t>
            </w:r>
          </w:p>
        </w:tc>
        <w:tc>
          <w:tcPr>
            <w:tcW w:w="0" w:type="auto"/>
          </w:tcPr>
          <w:p w:rsidR="0045438C" w:rsidRPr="00DB5AA0" w:rsidRDefault="0045438C" w:rsidP="00DB5AA0">
            <w:pPr>
              <w:spacing w:after="0" w:line="240" w:lineRule="auto"/>
              <w:jc w:val="right"/>
              <w:rPr>
                <w:rFonts w:eastAsia="Calibri" w:cs="Times New Roman"/>
                <w:szCs w:val="24"/>
              </w:rPr>
            </w:pPr>
            <w:r w:rsidRPr="00DB5AA0">
              <w:rPr>
                <w:rFonts w:eastAsia="Calibri" w:cs="Times New Roman"/>
                <w:sz w:val="22"/>
                <w:szCs w:val="24"/>
              </w:rPr>
              <w:t>3.474</w:t>
            </w:r>
          </w:p>
        </w:tc>
        <w:tc>
          <w:tcPr>
            <w:tcW w:w="0" w:type="auto"/>
          </w:tcPr>
          <w:p w:rsidR="0045438C" w:rsidRPr="00DB5AA0" w:rsidRDefault="0045438C" w:rsidP="00DB5AA0">
            <w:pPr>
              <w:spacing w:after="0" w:line="240" w:lineRule="auto"/>
              <w:jc w:val="right"/>
              <w:rPr>
                <w:rFonts w:eastAsia="Calibri" w:cs="Times New Roman"/>
                <w:szCs w:val="24"/>
              </w:rPr>
            </w:pPr>
            <w:r w:rsidRPr="00DB5AA0">
              <w:rPr>
                <w:rFonts w:eastAsia="Calibri" w:cs="Times New Roman"/>
                <w:sz w:val="22"/>
                <w:szCs w:val="24"/>
              </w:rPr>
              <w:t>3.009</w:t>
            </w:r>
          </w:p>
        </w:tc>
        <w:tc>
          <w:tcPr>
            <w:tcW w:w="0" w:type="auto"/>
          </w:tcPr>
          <w:p w:rsidR="0045438C" w:rsidRPr="00DB5AA0" w:rsidRDefault="0045438C" w:rsidP="00DB5AA0">
            <w:pPr>
              <w:spacing w:after="0" w:line="240" w:lineRule="auto"/>
              <w:jc w:val="right"/>
              <w:rPr>
                <w:rFonts w:eastAsia="Calibri" w:cs="Times New Roman"/>
                <w:szCs w:val="24"/>
              </w:rPr>
            </w:pPr>
            <w:r w:rsidRPr="00DB5AA0">
              <w:rPr>
                <w:rFonts w:eastAsia="Calibri" w:cs="Times New Roman"/>
                <w:sz w:val="22"/>
                <w:szCs w:val="24"/>
              </w:rPr>
              <w:t>-0.465</w:t>
            </w:r>
          </w:p>
        </w:tc>
        <w:tc>
          <w:tcPr>
            <w:tcW w:w="0" w:type="auto"/>
          </w:tcPr>
          <w:p w:rsidR="0045438C" w:rsidRPr="00DB5AA0" w:rsidRDefault="0045438C" w:rsidP="00DB5AA0">
            <w:pPr>
              <w:spacing w:after="0" w:line="240" w:lineRule="auto"/>
              <w:jc w:val="right"/>
              <w:rPr>
                <w:rFonts w:eastAsia="Calibri" w:cs="Times New Roman"/>
                <w:szCs w:val="24"/>
              </w:rPr>
            </w:pPr>
            <w:r w:rsidRPr="00DB5AA0">
              <w:rPr>
                <w:rFonts w:eastAsia="Calibri" w:cs="Times New Roman"/>
                <w:sz w:val="22"/>
                <w:szCs w:val="24"/>
              </w:rPr>
              <w:t>-13.3</w:t>
            </w:r>
          </w:p>
        </w:tc>
      </w:tr>
      <w:tr w:rsidR="0045438C" w:rsidRPr="00DB5AA0" w:rsidTr="0045438C">
        <w:tc>
          <w:tcPr>
            <w:tcW w:w="0" w:type="auto"/>
          </w:tcPr>
          <w:p w:rsidR="0045438C" w:rsidRPr="00DB5AA0" w:rsidRDefault="0045438C" w:rsidP="00DB5AA0">
            <w:pPr>
              <w:spacing w:after="0" w:line="240" w:lineRule="auto"/>
              <w:rPr>
                <w:rFonts w:eastAsia="Calibri" w:cs="Times New Roman"/>
                <w:szCs w:val="24"/>
              </w:rPr>
            </w:pPr>
            <w:r w:rsidRPr="00DB5AA0">
              <w:rPr>
                <w:rFonts w:eastAsia="Calibri" w:cs="Times New Roman"/>
                <w:sz w:val="22"/>
                <w:szCs w:val="24"/>
              </w:rPr>
              <w:t>Children and Young People</w:t>
            </w:r>
          </w:p>
        </w:tc>
        <w:tc>
          <w:tcPr>
            <w:tcW w:w="0" w:type="auto"/>
          </w:tcPr>
          <w:p w:rsidR="0045438C" w:rsidRPr="00DB5AA0" w:rsidRDefault="0045438C" w:rsidP="00DB5AA0">
            <w:pPr>
              <w:spacing w:after="0" w:line="240" w:lineRule="auto"/>
              <w:jc w:val="right"/>
              <w:rPr>
                <w:rFonts w:eastAsia="Calibri" w:cs="Times New Roman"/>
                <w:szCs w:val="24"/>
              </w:rPr>
            </w:pPr>
            <w:r w:rsidRPr="00DB5AA0">
              <w:rPr>
                <w:rFonts w:eastAsia="Calibri" w:cs="Times New Roman"/>
                <w:sz w:val="22"/>
                <w:szCs w:val="24"/>
              </w:rPr>
              <w:t>74.358</w:t>
            </w:r>
          </w:p>
        </w:tc>
        <w:tc>
          <w:tcPr>
            <w:tcW w:w="0" w:type="auto"/>
          </w:tcPr>
          <w:p w:rsidR="0045438C" w:rsidRPr="00DB5AA0" w:rsidRDefault="0045438C" w:rsidP="00DB5AA0">
            <w:pPr>
              <w:spacing w:after="0" w:line="240" w:lineRule="auto"/>
              <w:jc w:val="right"/>
              <w:rPr>
                <w:rFonts w:eastAsia="Calibri" w:cs="Times New Roman"/>
                <w:szCs w:val="24"/>
              </w:rPr>
            </w:pPr>
            <w:r w:rsidRPr="00DB5AA0">
              <w:rPr>
                <w:rFonts w:eastAsia="Calibri" w:cs="Times New Roman"/>
                <w:sz w:val="22"/>
                <w:szCs w:val="24"/>
              </w:rPr>
              <w:t>61.716</w:t>
            </w:r>
          </w:p>
        </w:tc>
        <w:tc>
          <w:tcPr>
            <w:tcW w:w="0" w:type="auto"/>
          </w:tcPr>
          <w:p w:rsidR="0045438C" w:rsidRPr="00DB5AA0" w:rsidRDefault="0045438C" w:rsidP="00DB5AA0">
            <w:pPr>
              <w:spacing w:after="0" w:line="240" w:lineRule="auto"/>
              <w:jc w:val="right"/>
              <w:rPr>
                <w:rFonts w:eastAsia="Calibri" w:cs="Times New Roman"/>
                <w:szCs w:val="24"/>
              </w:rPr>
            </w:pPr>
            <w:r w:rsidRPr="00DB5AA0">
              <w:rPr>
                <w:rFonts w:eastAsia="Calibri" w:cs="Times New Roman"/>
                <w:sz w:val="22"/>
                <w:szCs w:val="24"/>
              </w:rPr>
              <w:t>61.061</w:t>
            </w:r>
          </w:p>
        </w:tc>
        <w:tc>
          <w:tcPr>
            <w:tcW w:w="0" w:type="auto"/>
          </w:tcPr>
          <w:p w:rsidR="0045438C" w:rsidRPr="00DB5AA0" w:rsidRDefault="0045438C" w:rsidP="00DB5AA0">
            <w:pPr>
              <w:spacing w:after="0" w:line="240" w:lineRule="auto"/>
              <w:jc w:val="right"/>
              <w:rPr>
                <w:rFonts w:eastAsia="Calibri" w:cs="Times New Roman"/>
                <w:szCs w:val="24"/>
              </w:rPr>
            </w:pPr>
            <w:r w:rsidRPr="00DB5AA0">
              <w:rPr>
                <w:rFonts w:eastAsia="Calibri" w:cs="Times New Roman"/>
                <w:sz w:val="22"/>
                <w:szCs w:val="24"/>
              </w:rPr>
              <w:t>-0.655</w:t>
            </w:r>
          </w:p>
        </w:tc>
        <w:tc>
          <w:tcPr>
            <w:tcW w:w="0" w:type="auto"/>
          </w:tcPr>
          <w:p w:rsidR="0045438C" w:rsidRPr="00DB5AA0" w:rsidRDefault="0045438C" w:rsidP="00DB5AA0">
            <w:pPr>
              <w:spacing w:after="0" w:line="240" w:lineRule="auto"/>
              <w:jc w:val="right"/>
              <w:rPr>
                <w:rFonts w:eastAsia="Calibri" w:cs="Times New Roman"/>
                <w:szCs w:val="24"/>
              </w:rPr>
            </w:pPr>
            <w:r w:rsidRPr="00DB5AA0">
              <w:rPr>
                <w:rFonts w:eastAsia="Calibri" w:cs="Times New Roman"/>
                <w:sz w:val="22"/>
                <w:szCs w:val="24"/>
              </w:rPr>
              <w:t>-10.6</w:t>
            </w:r>
          </w:p>
        </w:tc>
      </w:tr>
      <w:tr w:rsidR="0045438C" w:rsidRPr="00DB5AA0" w:rsidTr="0045438C">
        <w:tc>
          <w:tcPr>
            <w:tcW w:w="0" w:type="auto"/>
          </w:tcPr>
          <w:p w:rsidR="0045438C" w:rsidRPr="00DB5AA0" w:rsidRDefault="0045438C" w:rsidP="00DB5AA0">
            <w:pPr>
              <w:spacing w:after="0" w:line="240" w:lineRule="auto"/>
              <w:rPr>
                <w:rFonts w:eastAsia="Calibri" w:cs="Times New Roman"/>
                <w:szCs w:val="24"/>
              </w:rPr>
            </w:pPr>
            <w:r w:rsidRPr="00DB5AA0">
              <w:rPr>
                <w:rFonts w:eastAsia="Calibri" w:cs="Times New Roman"/>
                <w:sz w:val="22"/>
                <w:szCs w:val="24"/>
              </w:rPr>
              <w:t>Environment</w:t>
            </w:r>
          </w:p>
        </w:tc>
        <w:tc>
          <w:tcPr>
            <w:tcW w:w="0" w:type="auto"/>
          </w:tcPr>
          <w:p w:rsidR="0045438C" w:rsidRPr="00DB5AA0" w:rsidRDefault="0045438C" w:rsidP="00DB5AA0">
            <w:pPr>
              <w:spacing w:after="0" w:line="240" w:lineRule="auto"/>
              <w:jc w:val="right"/>
              <w:rPr>
                <w:rFonts w:eastAsia="Calibri" w:cs="Times New Roman"/>
                <w:szCs w:val="24"/>
              </w:rPr>
            </w:pPr>
            <w:r w:rsidRPr="00DB5AA0">
              <w:rPr>
                <w:rFonts w:eastAsia="Calibri" w:cs="Times New Roman"/>
                <w:sz w:val="22"/>
                <w:szCs w:val="24"/>
              </w:rPr>
              <w:t>75.817</w:t>
            </w:r>
          </w:p>
        </w:tc>
        <w:tc>
          <w:tcPr>
            <w:tcW w:w="0" w:type="auto"/>
          </w:tcPr>
          <w:p w:rsidR="0045438C" w:rsidRPr="00DB5AA0" w:rsidRDefault="0045438C" w:rsidP="00DB5AA0">
            <w:pPr>
              <w:spacing w:after="0" w:line="240" w:lineRule="auto"/>
              <w:jc w:val="right"/>
              <w:rPr>
                <w:rFonts w:eastAsia="Calibri" w:cs="Times New Roman"/>
                <w:szCs w:val="24"/>
              </w:rPr>
            </w:pPr>
            <w:r w:rsidRPr="00DB5AA0">
              <w:rPr>
                <w:rFonts w:eastAsia="Calibri" w:cs="Times New Roman"/>
                <w:sz w:val="22"/>
                <w:szCs w:val="24"/>
              </w:rPr>
              <w:t>50.258</w:t>
            </w:r>
          </w:p>
        </w:tc>
        <w:tc>
          <w:tcPr>
            <w:tcW w:w="0" w:type="auto"/>
          </w:tcPr>
          <w:p w:rsidR="0045438C" w:rsidRPr="00DB5AA0" w:rsidRDefault="0045438C" w:rsidP="00DB5AA0">
            <w:pPr>
              <w:spacing w:after="0" w:line="240" w:lineRule="auto"/>
              <w:jc w:val="right"/>
              <w:rPr>
                <w:rFonts w:eastAsia="Calibri" w:cs="Times New Roman"/>
                <w:szCs w:val="24"/>
              </w:rPr>
            </w:pPr>
            <w:r w:rsidRPr="00DB5AA0">
              <w:rPr>
                <w:rFonts w:eastAsia="Calibri" w:cs="Times New Roman"/>
                <w:sz w:val="22"/>
                <w:szCs w:val="24"/>
              </w:rPr>
              <w:t>64.625</w:t>
            </w:r>
          </w:p>
        </w:tc>
        <w:tc>
          <w:tcPr>
            <w:tcW w:w="0" w:type="auto"/>
          </w:tcPr>
          <w:p w:rsidR="0045438C" w:rsidRPr="00DB5AA0" w:rsidRDefault="0045438C" w:rsidP="00DB5AA0">
            <w:pPr>
              <w:spacing w:after="0" w:line="240" w:lineRule="auto"/>
              <w:jc w:val="right"/>
              <w:rPr>
                <w:rFonts w:eastAsia="Calibri" w:cs="Times New Roman"/>
                <w:szCs w:val="24"/>
              </w:rPr>
            </w:pPr>
            <w:r w:rsidRPr="00DB5AA0">
              <w:rPr>
                <w:rFonts w:eastAsia="Calibri" w:cs="Times New Roman"/>
                <w:sz w:val="22"/>
                <w:szCs w:val="24"/>
              </w:rPr>
              <w:t>14.367</w:t>
            </w:r>
          </w:p>
        </w:tc>
        <w:tc>
          <w:tcPr>
            <w:tcW w:w="0" w:type="auto"/>
          </w:tcPr>
          <w:p w:rsidR="0045438C" w:rsidRPr="00DB5AA0" w:rsidRDefault="0045438C" w:rsidP="00DB5AA0">
            <w:pPr>
              <w:spacing w:after="0" w:line="240" w:lineRule="auto"/>
              <w:jc w:val="right"/>
              <w:rPr>
                <w:rFonts w:eastAsia="Calibri" w:cs="Times New Roman"/>
                <w:szCs w:val="24"/>
              </w:rPr>
            </w:pPr>
            <w:r w:rsidRPr="00DB5AA0">
              <w:rPr>
                <w:rFonts w:eastAsia="Calibri" w:cs="Times New Roman"/>
                <w:sz w:val="22"/>
                <w:szCs w:val="24"/>
              </w:rPr>
              <w:t>28.6</w:t>
            </w:r>
          </w:p>
        </w:tc>
      </w:tr>
      <w:tr w:rsidR="0045438C" w:rsidRPr="00DB5AA0" w:rsidTr="0045438C">
        <w:tc>
          <w:tcPr>
            <w:tcW w:w="0" w:type="auto"/>
          </w:tcPr>
          <w:p w:rsidR="0045438C" w:rsidRPr="00DB5AA0" w:rsidRDefault="0045438C" w:rsidP="00DB5AA0">
            <w:pPr>
              <w:spacing w:after="0" w:line="240" w:lineRule="auto"/>
              <w:rPr>
                <w:rFonts w:eastAsia="Calibri" w:cs="Times New Roman"/>
                <w:szCs w:val="24"/>
              </w:rPr>
            </w:pPr>
            <w:r w:rsidRPr="00DB5AA0">
              <w:rPr>
                <w:rFonts w:eastAsia="Calibri" w:cs="Times New Roman"/>
                <w:sz w:val="22"/>
                <w:szCs w:val="24"/>
              </w:rPr>
              <w:t>Corporate</w:t>
            </w:r>
          </w:p>
        </w:tc>
        <w:tc>
          <w:tcPr>
            <w:tcW w:w="0" w:type="auto"/>
          </w:tcPr>
          <w:p w:rsidR="0045438C" w:rsidRPr="00DB5AA0" w:rsidRDefault="0045438C" w:rsidP="00DB5AA0">
            <w:pPr>
              <w:spacing w:after="0" w:line="240" w:lineRule="auto"/>
              <w:jc w:val="right"/>
              <w:rPr>
                <w:rFonts w:eastAsia="Calibri" w:cs="Times New Roman"/>
                <w:szCs w:val="24"/>
              </w:rPr>
            </w:pPr>
            <w:r w:rsidRPr="00DB5AA0">
              <w:rPr>
                <w:rFonts w:eastAsia="Calibri" w:cs="Times New Roman"/>
                <w:sz w:val="22"/>
                <w:szCs w:val="24"/>
              </w:rPr>
              <w:t>39.687</w:t>
            </w:r>
          </w:p>
        </w:tc>
        <w:tc>
          <w:tcPr>
            <w:tcW w:w="0" w:type="auto"/>
          </w:tcPr>
          <w:p w:rsidR="0045438C" w:rsidRPr="00DB5AA0" w:rsidRDefault="0045438C" w:rsidP="00DB5AA0">
            <w:pPr>
              <w:spacing w:after="0" w:line="240" w:lineRule="auto"/>
              <w:jc w:val="right"/>
              <w:rPr>
                <w:rFonts w:eastAsia="Calibri" w:cs="Times New Roman"/>
                <w:szCs w:val="24"/>
              </w:rPr>
            </w:pPr>
            <w:r w:rsidRPr="00DB5AA0">
              <w:rPr>
                <w:rFonts w:eastAsia="Calibri" w:cs="Times New Roman"/>
                <w:sz w:val="22"/>
                <w:szCs w:val="24"/>
              </w:rPr>
              <w:t>36.743</w:t>
            </w:r>
          </w:p>
        </w:tc>
        <w:tc>
          <w:tcPr>
            <w:tcW w:w="0" w:type="auto"/>
          </w:tcPr>
          <w:p w:rsidR="0045438C" w:rsidRPr="00DB5AA0" w:rsidRDefault="0045438C" w:rsidP="00DB5AA0">
            <w:pPr>
              <w:spacing w:after="0" w:line="240" w:lineRule="auto"/>
              <w:jc w:val="right"/>
              <w:rPr>
                <w:rFonts w:eastAsia="Calibri" w:cs="Times New Roman"/>
                <w:szCs w:val="24"/>
              </w:rPr>
            </w:pPr>
            <w:r w:rsidRPr="00DB5AA0">
              <w:rPr>
                <w:sz w:val="22"/>
                <w:szCs w:val="24"/>
              </w:rPr>
              <w:t>3</w:t>
            </w:r>
            <w:r>
              <w:rPr>
                <w:sz w:val="22"/>
                <w:szCs w:val="24"/>
              </w:rPr>
              <w:t>2.174</w:t>
            </w:r>
          </w:p>
        </w:tc>
        <w:tc>
          <w:tcPr>
            <w:tcW w:w="0" w:type="auto"/>
          </w:tcPr>
          <w:p w:rsidR="0045438C" w:rsidRPr="00DB5AA0" w:rsidRDefault="0045438C" w:rsidP="00DB5AA0">
            <w:pPr>
              <w:spacing w:after="0" w:line="240" w:lineRule="auto"/>
              <w:jc w:val="right"/>
              <w:rPr>
                <w:rFonts w:eastAsia="Calibri" w:cs="Times New Roman"/>
                <w:szCs w:val="24"/>
              </w:rPr>
            </w:pPr>
            <w:r>
              <w:rPr>
                <w:sz w:val="22"/>
                <w:szCs w:val="24"/>
              </w:rPr>
              <w:t>-4.569</w:t>
            </w:r>
          </w:p>
        </w:tc>
        <w:tc>
          <w:tcPr>
            <w:tcW w:w="0" w:type="auto"/>
          </w:tcPr>
          <w:p w:rsidR="0045438C" w:rsidRPr="00DB5AA0" w:rsidRDefault="0045438C" w:rsidP="00DB5AA0">
            <w:pPr>
              <w:spacing w:after="0" w:line="240" w:lineRule="auto"/>
              <w:jc w:val="right"/>
              <w:rPr>
                <w:rFonts w:eastAsia="Calibri" w:cs="Times New Roman"/>
                <w:szCs w:val="24"/>
              </w:rPr>
            </w:pPr>
            <w:r>
              <w:rPr>
                <w:sz w:val="22"/>
                <w:szCs w:val="24"/>
              </w:rPr>
              <w:t>-12.4</w:t>
            </w:r>
          </w:p>
        </w:tc>
      </w:tr>
      <w:tr w:rsidR="0045438C" w:rsidRPr="00DB5AA0" w:rsidTr="0045438C">
        <w:tc>
          <w:tcPr>
            <w:tcW w:w="0" w:type="auto"/>
          </w:tcPr>
          <w:p w:rsidR="0045438C" w:rsidRPr="00DB5AA0" w:rsidRDefault="0045438C" w:rsidP="00DB5AA0">
            <w:pPr>
              <w:spacing w:after="0" w:line="240" w:lineRule="auto"/>
              <w:rPr>
                <w:rFonts w:eastAsia="Calibri" w:cs="Times New Roman"/>
                <w:szCs w:val="24"/>
              </w:rPr>
            </w:pPr>
            <w:r w:rsidRPr="00DB5AA0">
              <w:rPr>
                <w:rFonts w:eastAsia="Calibri" w:cs="Times New Roman"/>
                <w:sz w:val="22"/>
                <w:szCs w:val="24"/>
              </w:rPr>
              <w:t>LCCG</w:t>
            </w:r>
          </w:p>
        </w:tc>
        <w:tc>
          <w:tcPr>
            <w:tcW w:w="0" w:type="auto"/>
          </w:tcPr>
          <w:p w:rsidR="0045438C" w:rsidRPr="00DB5AA0" w:rsidRDefault="0045438C" w:rsidP="00DB5AA0">
            <w:pPr>
              <w:spacing w:after="0" w:line="240" w:lineRule="auto"/>
              <w:jc w:val="right"/>
              <w:rPr>
                <w:rFonts w:eastAsia="Calibri" w:cs="Times New Roman"/>
                <w:szCs w:val="24"/>
              </w:rPr>
            </w:pPr>
            <w:r w:rsidRPr="00DB5AA0">
              <w:rPr>
                <w:rFonts w:eastAsia="Calibri" w:cs="Times New Roman"/>
                <w:sz w:val="22"/>
                <w:szCs w:val="24"/>
              </w:rPr>
              <w:t>6.189</w:t>
            </w:r>
          </w:p>
        </w:tc>
        <w:tc>
          <w:tcPr>
            <w:tcW w:w="0" w:type="auto"/>
          </w:tcPr>
          <w:p w:rsidR="0045438C" w:rsidRPr="00DB5AA0" w:rsidRDefault="0045438C" w:rsidP="00DB5AA0">
            <w:pPr>
              <w:spacing w:after="0" w:line="240" w:lineRule="auto"/>
              <w:jc w:val="right"/>
              <w:rPr>
                <w:rFonts w:eastAsia="Calibri" w:cs="Times New Roman"/>
                <w:szCs w:val="24"/>
              </w:rPr>
            </w:pPr>
            <w:r w:rsidRPr="00DB5AA0">
              <w:rPr>
                <w:rFonts w:eastAsia="Calibri" w:cs="Times New Roman"/>
                <w:sz w:val="22"/>
                <w:szCs w:val="24"/>
              </w:rPr>
              <w:t>5.215</w:t>
            </w:r>
          </w:p>
        </w:tc>
        <w:tc>
          <w:tcPr>
            <w:tcW w:w="0" w:type="auto"/>
          </w:tcPr>
          <w:p w:rsidR="0045438C" w:rsidRPr="00DB5AA0" w:rsidRDefault="0045438C" w:rsidP="00DB5AA0">
            <w:pPr>
              <w:spacing w:after="0" w:line="240" w:lineRule="auto"/>
              <w:jc w:val="right"/>
              <w:rPr>
                <w:rFonts w:eastAsia="Calibri" w:cs="Times New Roman"/>
                <w:szCs w:val="24"/>
              </w:rPr>
            </w:pPr>
            <w:r w:rsidRPr="00DB5AA0">
              <w:rPr>
                <w:sz w:val="22"/>
                <w:szCs w:val="24"/>
              </w:rPr>
              <w:t>4.530</w:t>
            </w:r>
          </w:p>
        </w:tc>
        <w:tc>
          <w:tcPr>
            <w:tcW w:w="0" w:type="auto"/>
          </w:tcPr>
          <w:p w:rsidR="0045438C" w:rsidRPr="00DB5AA0" w:rsidRDefault="0045438C" w:rsidP="00DB5AA0">
            <w:pPr>
              <w:spacing w:after="0" w:line="240" w:lineRule="auto"/>
              <w:jc w:val="right"/>
              <w:rPr>
                <w:rFonts w:eastAsia="Calibri" w:cs="Times New Roman"/>
                <w:szCs w:val="24"/>
              </w:rPr>
            </w:pPr>
            <w:r w:rsidRPr="00DB5AA0">
              <w:rPr>
                <w:sz w:val="22"/>
                <w:szCs w:val="24"/>
              </w:rPr>
              <w:t>-0.685</w:t>
            </w:r>
          </w:p>
        </w:tc>
        <w:tc>
          <w:tcPr>
            <w:tcW w:w="0" w:type="auto"/>
          </w:tcPr>
          <w:p w:rsidR="0045438C" w:rsidRPr="00DB5AA0" w:rsidRDefault="0045438C" w:rsidP="00DB5AA0">
            <w:pPr>
              <w:spacing w:after="0" w:line="240" w:lineRule="auto"/>
              <w:jc w:val="right"/>
              <w:rPr>
                <w:rFonts w:eastAsia="Calibri" w:cs="Times New Roman"/>
                <w:szCs w:val="24"/>
              </w:rPr>
            </w:pPr>
            <w:r w:rsidRPr="00DB5AA0">
              <w:rPr>
                <w:sz w:val="22"/>
                <w:szCs w:val="24"/>
              </w:rPr>
              <w:t>-13.1</w:t>
            </w:r>
          </w:p>
        </w:tc>
      </w:tr>
      <w:tr w:rsidR="0045438C" w:rsidRPr="00DB5AA0" w:rsidTr="006A6C12">
        <w:trPr>
          <w:trHeight w:val="387"/>
        </w:trPr>
        <w:tc>
          <w:tcPr>
            <w:tcW w:w="0" w:type="auto"/>
            <w:vAlign w:val="center"/>
          </w:tcPr>
          <w:p w:rsidR="0045438C" w:rsidRPr="00DB5AA0" w:rsidRDefault="0045438C" w:rsidP="006A6C12">
            <w:pPr>
              <w:spacing w:after="0" w:line="240" w:lineRule="auto"/>
              <w:rPr>
                <w:rFonts w:eastAsia="Calibri" w:cs="Times New Roman"/>
                <w:b/>
                <w:szCs w:val="24"/>
              </w:rPr>
            </w:pPr>
            <w:r w:rsidRPr="00DB5AA0">
              <w:rPr>
                <w:rFonts w:eastAsia="Calibri" w:cs="Times New Roman"/>
                <w:b/>
                <w:sz w:val="22"/>
                <w:szCs w:val="24"/>
              </w:rPr>
              <w:t>Total</w:t>
            </w:r>
          </w:p>
        </w:tc>
        <w:tc>
          <w:tcPr>
            <w:tcW w:w="0" w:type="auto"/>
            <w:vAlign w:val="center"/>
          </w:tcPr>
          <w:p w:rsidR="0045438C" w:rsidRPr="00DB5AA0" w:rsidRDefault="0045438C" w:rsidP="006A6C12">
            <w:pPr>
              <w:spacing w:after="0" w:line="240" w:lineRule="auto"/>
              <w:jc w:val="right"/>
              <w:rPr>
                <w:rFonts w:eastAsia="Calibri" w:cs="Times New Roman"/>
                <w:b/>
                <w:szCs w:val="24"/>
              </w:rPr>
            </w:pPr>
            <w:r w:rsidRPr="00DB5AA0">
              <w:rPr>
                <w:rFonts w:eastAsia="Calibri" w:cs="Times New Roman"/>
                <w:b/>
                <w:sz w:val="22"/>
                <w:szCs w:val="24"/>
              </w:rPr>
              <w:t>202.069</w:t>
            </w:r>
          </w:p>
        </w:tc>
        <w:tc>
          <w:tcPr>
            <w:tcW w:w="0" w:type="auto"/>
            <w:vAlign w:val="center"/>
          </w:tcPr>
          <w:p w:rsidR="0045438C" w:rsidRPr="00DB5AA0" w:rsidRDefault="0045438C" w:rsidP="006A6C12">
            <w:pPr>
              <w:spacing w:after="0" w:line="240" w:lineRule="auto"/>
              <w:jc w:val="right"/>
              <w:rPr>
                <w:rFonts w:eastAsia="Calibri" w:cs="Times New Roman"/>
                <w:b/>
                <w:szCs w:val="24"/>
              </w:rPr>
            </w:pPr>
            <w:r w:rsidRPr="00DB5AA0">
              <w:rPr>
                <w:rFonts w:eastAsia="Calibri" w:cs="Times New Roman"/>
                <w:b/>
                <w:sz w:val="22"/>
                <w:szCs w:val="24"/>
              </w:rPr>
              <w:t>157.406</w:t>
            </w:r>
          </w:p>
        </w:tc>
        <w:tc>
          <w:tcPr>
            <w:tcW w:w="0" w:type="auto"/>
            <w:vAlign w:val="center"/>
          </w:tcPr>
          <w:p w:rsidR="0045438C" w:rsidRPr="00DB5AA0" w:rsidRDefault="0045438C" w:rsidP="006A6C12">
            <w:pPr>
              <w:spacing w:after="0" w:line="240" w:lineRule="auto"/>
              <w:jc w:val="right"/>
              <w:rPr>
                <w:rFonts w:eastAsia="Calibri" w:cs="Times New Roman"/>
                <w:b/>
                <w:szCs w:val="24"/>
              </w:rPr>
            </w:pPr>
            <w:r>
              <w:rPr>
                <w:b/>
                <w:sz w:val="22"/>
                <w:szCs w:val="24"/>
              </w:rPr>
              <w:t>165.399</w:t>
            </w:r>
          </w:p>
        </w:tc>
        <w:tc>
          <w:tcPr>
            <w:tcW w:w="0" w:type="auto"/>
            <w:vAlign w:val="center"/>
          </w:tcPr>
          <w:p w:rsidR="0045438C" w:rsidRPr="00DB5AA0" w:rsidRDefault="0045438C" w:rsidP="006A6C12">
            <w:pPr>
              <w:spacing w:after="0" w:line="240" w:lineRule="auto"/>
              <w:jc w:val="right"/>
              <w:rPr>
                <w:rFonts w:eastAsia="Calibri" w:cs="Times New Roman"/>
                <w:b/>
                <w:szCs w:val="24"/>
              </w:rPr>
            </w:pPr>
            <w:r>
              <w:rPr>
                <w:b/>
                <w:sz w:val="22"/>
                <w:szCs w:val="24"/>
              </w:rPr>
              <w:t>7.993</w:t>
            </w:r>
          </w:p>
        </w:tc>
        <w:tc>
          <w:tcPr>
            <w:tcW w:w="0" w:type="auto"/>
            <w:vAlign w:val="center"/>
          </w:tcPr>
          <w:p w:rsidR="0045438C" w:rsidRPr="00DB5AA0" w:rsidRDefault="0045438C" w:rsidP="006A6C12">
            <w:pPr>
              <w:spacing w:after="0" w:line="240" w:lineRule="auto"/>
              <w:jc w:val="right"/>
              <w:rPr>
                <w:rFonts w:eastAsia="Calibri" w:cs="Times New Roman"/>
                <w:b/>
                <w:szCs w:val="24"/>
              </w:rPr>
            </w:pPr>
            <w:r>
              <w:rPr>
                <w:b/>
                <w:sz w:val="22"/>
                <w:szCs w:val="24"/>
              </w:rPr>
              <w:t>5.1</w:t>
            </w:r>
          </w:p>
        </w:tc>
      </w:tr>
    </w:tbl>
    <w:p w:rsidR="00DB5AA0" w:rsidRPr="00DB5AA0" w:rsidRDefault="00DB5AA0" w:rsidP="00DB5AA0">
      <w:pPr>
        <w:rPr>
          <w:rFonts w:eastAsia="Calibri" w:cs="Times New Roman"/>
          <w:szCs w:val="24"/>
        </w:rPr>
      </w:pPr>
    </w:p>
    <w:p w:rsidR="00DB5AA0" w:rsidRPr="00DB5AA0" w:rsidRDefault="00DB5AA0" w:rsidP="000738F4">
      <w:pPr>
        <w:jc w:val="both"/>
        <w:rPr>
          <w:rFonts w:eastAsia="Calibri" w:cs="Times New Roman"/>
          <w:szCs w:val="24"/>
        </w:rPr>
      </w:pPr>
      <w:r w:rsidRPr="00DB5AA0">
        <w:rPr>
          <w:rFonts w:eastAsia="Calibri" w:cs="Times New Roman"/>
          <w:szCs w:val="24"/>
        </w:rPr>
        <w:t>The forecast shows that the anticipated expenditure in the year is £</w:t>
      </w:r>
      <w:r w:rsidR="00447890">
        <w:rPr>
          <w:rFonts w:eastAsia="Calibri" w:cs="Times New Roman"/>
          <w:szCs w:val="24"/>
        </w:rPr>
        <w:t>7.991</w:t>
      </w:r>
      <w:r w:rsidRPr="00DB5AA0">
        <w:rPr>
          <w:rFonts w:eastAsia="Calibri" w:cs="Times New Roman"/>
          <w:szCs w:val="24"/>
        </w:rPr>
        <w:t>m more than forecast</w:t>
      </w:r>
      <w:r w:rsidR="00260A69">
        <w:rPr>
          <w:rFonts w:eastAsia="Calibri" w:cs="Times New Roman"/>
          <w:szCs w:val="24"/>
        </w:rPr>
        <w:t xml:space="preserve"> in the last report to </w:t>
      </w:r>
      <w:r w:rsidR="00F96D41">
        <w:rPr>
          <w:rFonts w:eastAsia="Calibri" w:cs="Times New Roman"/>
          <w:szCs w:val="24"/>
        </w:rPr>
        <w:t>Cabinet. T</w:t>
      </w:r>
      <w:r w:rsidRPr="00DB5AA0">
        <w:rPr>
          <w:rFonts w:eastAsia="Calibri" w:cs="Times New Roman"/>
          <w:szCs w:val="24"/>
        </w:rPr>
        <w:t>his includes the effect of the addition of the Heysham M6 link road and the expenditure being incurred at Leyland St Mary's RC Technology College following the fire damage. After adjusting for these projects</w:t>
      </w:r>
      <w:r w:rsidR="00F96D41">
        <w:rPr>
          <w:rFonts w:eastAsia="Calibri" w:cs="Times New Roman"/>
          <w:szCs w:val="24"/>
        </w:rPr>
        <w:t>,</w:t>
      </w:r>
      <w:r w:rsidRPr="00DB5AA0">
        <w:rPr>
          <w:rFonts w:eastAsia="Calibri" w:cs="Times New Roman"/>
          <w:szCs w:val="24"/>
        </w:rPr>
        <w:t xml:space="preserve"> the forecast spend </w:t>
      </w:r>
      <w:r w:rsidR="00260A69">
        <w:rPr>
          <w:rFonts w:eastAsia="Calibri" w:cs="Times New Roman"/>
          <w:szCs w:val="24"/>
        </w:rPr>
        <w:t xml:space="preserve">on the remaining programme </w:t>
      </w:r>
      <w:r w:rsidRPr="00DB5AA0">
        <w:rPr>
          <w:rFonts w:eastAsia="Calibri" w:cs="Times New Roman"/>
          <w:szCs w:val="24"/>
        </w:rPr>
        <w:t>is estimated to be £1</w:t>
      </w:r>
      <w:r w:rsidR="00447890">
        <w:rPr>
          <w:rFonts w:eastAsia="Calibri" w:cs="Times New Roman"/>
          <w:szCs w:val="24"/>
        </w:rPr>
        <w:t>1.110</w:t>
      </w:r>
      <w:r w:rsidRPr="00DB5AA0">
        <w:rPr>
          <w:rFonts w:eastAsia="Calibri" w:cs="Times New Roman"/>
          <w:szCs w:val="24"/>
        </w:rPr>
        <w:t>m less</w:t>
      </w:r>
      <w:r w:rsidR="00260A69">
        <w:rPr>
          <w:rFonts w:eastAsia="Calibri" w:cs="Times New Roman"/>
          <w:szCs w:val="24"/>
        </w:rPr>
        <w:t xml:space="preserve"> than previously reported</w:t>
      </w:r>
      <w:r w:rsidRPr="00DB5AA0">
        <w:rPr>
          <w:rFonts w:eastAsia="Calibri" w:cs="Times New Roman"/>
          <w:szCs w:val="24"/>
        </w:rPr>
        <w:t>. Some of the key reasons for the change are:</w:t>
      </w:r>
    </w:p>
    <w:p w:rsidR="00DB5AA0" w:rsidRPr="007A1B72" w:rsidRDefault="00DB5AA0" w:rsidP="00DB5AA0">
      <w:pPr>
        <w:spacing w:after="120"/>
        <w:ind w:hanging="567"/>
        <w:jc w:val="both"/>
        <w:rPr>
          <w:i/>
          <w:szCs w:val="24"/>
        </w:rPr>
      </w:pPr>
      <w:r w:rsidRPr="000738F4">
        <w:rPr>
          <w:b/>
          <w:szCs w:val="24"/>
        </w:rPr>
        <w:t>4.1</w:t>
      </w:r>
      <w:r w:rsidRPr="007A1B72">
        <w:rPr>
          <w:i/>
          <w:szCs w:val="24"/>
        </w:rPr>
        <w:t xml:space="preserve"> </w:t>
      </w:r>
      <w:r w:rsidRPr="007A1B72">
        <w:rPr>
          <w:i/>
          <w:szCs w:val="24"/>
        </w:rPr>
        <w:tab/>
      </w:r>
      <w:r w:rsidRPr="000738F4">
        <w:rPr>
          <w:b/>
          <w:i/>
          <w:szCs w:val="24"/>
        </w:rPr>
        <w:t>Adult Services, Health and Wellbeing</w:t>
      </w:r>
    </w:p>
    <w:p w:rsidR="00DB5AA0" w:rsidRPr="00DB5AA0" w:rsidRDefault="00DB5AA0" w:rsidP="000738F4">
      <w:pPr>
        <w:numPr>
          <w:ilvl w:val="0"/>
          <w:numId w:val="43"/>
        </w:numPr>
        <w:jc w:val="both"/>
        <w:rPr>
          <w:rFonts w:eastAsia="Calibri" w:cs="Times New Roman"/>
          <w:szCs w:val="24"/>
        </w:rPr>
      </w:pPr>
      <w:r w:rsidRPr="00DB5AA0">
        <w:rPr>
          <w:rFonts w:eastAsia="Calibri" w:cs="Times New Roman"/>
          <w:szCs w:val="24"/>
        </w:rPr>
        <w:t>The expenditure on Libraries Regeneration is less than anticipated by £0.339m as a result of issues at Bolton- Le- Sands</w:t>
      </w:r>
      <w:r w:rsidR="00DC04C9">
        <w:rPr>
          <w:rFonts w:eastAsia="Calibri" w:cs="Times New Roman"/>
          <w:szCs w:val="24"/>
        </w:rPr>
        <w:t xml:space="preserve"> </w:t>
      </w:r>
      <w:r w:rsidR="00447890">
        <w:rPr>
          <w:szCs w:val="24"/>
        </w:rPr>
        <w:t>including the need to accommodate bats on the site and a review of the requirements for the meeting room</w:t>
      </w:r>
      <w:r w:rsidR="00447890" w:rsidDel="00447890">
        <w:rPr>
          <w:rFonts w:eastAsia="Calibri" w:cs="Times New Roman"/>
          <w:szCs w:val="24"/>
        </w:rPr>
        <w:t xml:space="preserve"> </w:t>
      </w:r>
      <w:r w:rsidRPr="00DB5AA0">
        <w:rPr>
          <w:rFonts w:eastAsia="Calibri" w:cs="Times New Roman"/>
          <w:szCs w:val="24"/>
        </w:rPr>
        <w:t xml:space="preserve">and a review of the sites that will be subject to minor works under the Programme. </w:t>
      </w:r>
    </w:p>
    <w:p w:rsidR="007A1B72" w:rsidRPr="007A1B72" w:rsidRDefault="007A1B72" w:rsidP="000738F4">
      <w:pPr>
        <w:ind w:hanging="567"/>
        <w:jc w:val="both"/>
        <w:rPr>
          <w:i/>
          <w:szCs w:val="24"/>
        </w:rPr>
      </w:pPr>
      <w:r w:rsidRPr="000738F4">
        <w:rPr>
          <w:b/>
          <w:szCs w:val="24"/>
        </w:rPr>
        <w:t>4.2</w:t>
      </w:r>
      <w:r w:rsidRPr="007A1B72">
        <w:rPr>
          <w:i/>
          <w:szCs w:val="24"/>
        </w:rPr>
        <w:t xml:space="preserve"> </w:t>
      </w:r>
      <w:r w:rsidRPr="007A1B72">
        <w:rPr>
          <w:i/>
          <w:szCs w:val="24"/>
        </w:rPr>
        <w:tab/>
      </w:r>
      <w:r w:rsidRPr="000738F4">
        <w:rPr>
          <w:b/>
          <w:i/>
          <w:szCs w:val="24"/>
        </w:rPr>
        <w:t>Directorate for Children and Young People</w:t>
      </w:r>
    </w:p>
    <w:p w:rsidR="00DB5AA0" w:rsidRPr="00DB5AA0" w:rsidRDefault="00DB5AA0" w:rsidP="000738F4">
      <w:pPr>
        <w:numPr>
          <w:ilvl w:val="0"/>
          <w:numId w:val="34"/>
        </w:numPr>
        <w:jc w:val="both"/>
        <w:rPr>
          <w:rFonts w:eastAsia="Calibri" w:cs="Times New Roman"/>
          <w:szCs w:val="24"/>
        </w:rPr>
      </w:pPr>
      <w:r w:rsidRPr="00DB5AA0">
        <w:rPr>
          <w:rFonts w:eastAsia="Calibri" w:cs="Times New Roman"/>
          <w:szCs w:val="24"/>
        </w:rPr>
        <w:t>The forecast now includes £2.9m of expenditure to be incurred on Leyland St Mary's Technology College following a major Fire</w:t>
      </w:r>
      <w:r w:rsidR="00A50F9D">
        <w:rPr>
          <w:rFonts w:eastAsia="Calibri" w:cs="Times New Roman"/>
          <w:szCs w:val="24"/>
        </w:rPr>
        <w:t xml:space="preserve"> which will be funded </w:t>
      </w:r>
      <w:r w:rsidR="00DC04C9">
        <w:rPr>
          <w:rFonts w:eastAsia="Calibri" w:cs="Times New Roman"/>
          <w:szCs w:val="24"/>
        </w:rPr>
        <w:t>through an insurance claim</w:t>
      </w:r>
      <w:r w:rsidR="00FD72EF">
        <w:rPr>
          <w:rFonts w:eastAsia="Calibri" w:cs="Times New Roman"/>
          <w:szCs w:val="24"/>
        </w:rPr>
        <w:t>.</w:t>
      </w:r>
    </w:p>
    <w:p w:rsidR="00DB5AA0" w:rsidRPr="00DB5AA0" w:rsidRDefault="00DB5AA0" w:rsidP="000738F4">
      <w:pPr>
        <w:numPr>
          <w:ilvl w:val="0"/>
          <w:numId w:val="34"/>
        </w:numPr>
        <w:jc w:val="both"/>
        <w:rPr>
          <w:rFonts w:eastAsia="Calibri" w:cs="Times New Roman"/>
          <w:szCs w:val="24"/>
        </w:rPr>
      </w:pPr>
      <w:r w:rsidRPr="00DB5AA0">
        <w:rPr>
          <w:rFonts w:eastAsia="Calibri" w:cs="Times New Roman"/>
          <w:szCs w:val="24"/>
        </w:rPr>
        <w:t xml:space="preserve">There is now forecast to be a reduction in expenditure on the schools capital pot of £2.087m. This is principally due to </w:t>
      </w:r>
      <w:r w:rsidR="00DC04C9">
        <w:rPr>
          <w:rFonts w:eastAsia="Calibri" w:cs="Times New Roman"/>
          <w:szCs w:val="24"/>
        </w:rPr>
        <w:t>slippage on the scheme at</w:t>
      </w:r>
      <w:r w:rsidRPr="00DB5AA0">
        <w:rPr>
          <w:rFonts w:eastAsia="Calibri" w:cs="Times New Roman"/>
          <w:szCs w:val="24"/>
        </w:rPr>
        <w:t xml:space="preserve"> Weeton Primary as a consequence of the start of the scheme being delayed due to protracted negotiations with the Ministry of Defence £0.780m, complexities around the refurbishment causing delay at Fleetwood Chaucer, a</w:t>
      </w:r>
      <w:r w:rsidR="00B90DCE">
        <w:rPr>
          <w:rFonts w:eastAsia="Calibri" w:cs="Times New Roman"/>
          <w:szCs w:val="24"/>
        </w:rPr>
        <w:t>nd a</w:t>
      </w:r>
      <w:r w:rsidRPr="00DB5AA0">
        <w:rPr>
          <w:rFonts w:eastAsia="Calibri" w:cs="Times New Roman"/>
          <w:szCs w:val="24"/>
        </w:rPr>
        <w:t xml:space="preserve"> delayed start at Morecambe Great Wood</w:t>
      </w:r>
      <w:r w:rsidR="00FD72EF">
        <w:rPr>
          <w:rFonts w:eastAsia="Calibri" w:cs="Times New Roman"/>
          <w:szCs w:val="24"/>
        </w:rPr>
        <w:t>.</w:t>
      </w:r>
    </w:p>
    <w:p w:rsidR="00DB5AA0" w:rsidRPr="00DB5AA0" w:rsidRDefault="00DC04C9" w:rsidP="000738F4">
      <w:pPr>
        <w:numPr>
          <w:ilvl w:val="0"/>
          <w:numId w:val="34"/>
        </w:numPr>
        <w:jc w:val="both"/>
        <w:rPr>
          <w:rFonts w:eastAsia="Calibri" w:cs="Times New Roman"/>
          <w:szCs w:val="24"/>
        </w:rPr>
      </w:pPr>
      <w:r>
        <w:rPr>
          <w:rFonts w:eastAsia="Calibri" w:cs="Times New Roman"/>
          <w:szCs w:val="24"/>
        </w:rPr>
        <w:t xml:space="preserve">Spending on </w:t>
      </w:r>
      <w:r w:rsidR="00DB5AA0" w:rsidRPr="00DB5AA0">
        <w:rPr>
          <w:rFonts w:eastAsia="Calibri" w:cs="Times New Roman"/>
          <w:szCs w:val="24"/>
        </w:rPr>
        <w:t xml:space="preserve">Children's residential </w:t>
      </w:r>
      <w:r>
        <w:rPr>
          <w:rFonts w:eastAsia="Calibri" w:cs="Times New Roman"/>
          <w:szCs w:val="24"/>
        </w:rPr>
        <w:t>redesign is</w:t>
      </w:r>
      <w:r w:rsidR="00DB5AA0" w:rsidRPr="00DB5AA0">
        <w:rPr>
          <w:rFonts w:eastAsia="Calibri" w:cs="Times New Roman"/>
          <w:szCs w:val="24"/>
        </w:rPr>
        <w:t xml:space="preserve"> £0.950m lower </w:t>
      </w:r>
      <w:r>
        <w:rPr>
          <w:rFonts w:eastAsia="Calibri" w:cs="Times New Roman"/>
          <w:szCs w:val="24"/>
        </w:rPr>
        <w:t xml:space="preserve">than expected </w:t>
      </w:r>
      <w:r w:rsidR="00DB5AA0" w:rsidRPr="00DB5AA0">
        <w:rPr>
          <w:rFonts w:eastAsia="Calibri" w:cs="Times New Roman"/>
          <w:szCs w:val="24"/>
        </w:rPr>
        <w:t>as there was a delay in de</w:t>
      </w:r>
      <w:r>
        <w:rPr>
          <w:rFonts w:eastAsia="Calibri" w:cs="Times New Roman"/>
          <w:szCs w:val="24"/>
        </w:rPr>
        <w:t>termining which design schemes were to be taken forwards</w:t>
      </w:r>
      <w:r w:rsidR="00DB5AA0" w:rsidRPr="00DB5AA0">
        <w:rPr>
          <w:rFonts w:eastAsia="Calibri" w:cs="Times New Roman"/>
          <w:szCs w:val="24"/>
        </w:rPr>
        <w:t>.</w:t>
      </w:r>
    </w:p>
    <w:p w:rsidR="00DB5AA0" w:rsidRPr="00DB5AA0" w:rsidRDefault="00DB5AA0" w:rsidP="000738F4">
      <w:pPr>
        <w:numPr>
          <w:ilvl w:val="0"/>
          <w:numId w:val="34"/>
        </w:numPr>
        <w:jc w:val="both"/>
        <w:rPr>
          <w:rFonts w:eastAsia="Calibri" w:cs="Times New Roman"/>
          <w:szCs w:val="24"/>
        </w:rPr>
      </w:pPr>
      <w:r w:rsidRPr="00DB5AA0">
        <w:rPr>
          <w:rFonts w:eastAsia="Calibri" w:cs="Times New Roman"/>
          <w:szCs w:val="24"/>
        </w:rPr>
        <w:t>Expenditure on the Youth Zones is lower than anticipated due to on-going lease and private sector negotiations at two sites.</w:t>
      </w:r>
    </w:p>
    <w:p w:rsidR="007A1B72" w:rsidRPr="000738F4" w:rsidRDefault="007A1B72" w:rsidP="000738F4">
      <w:pPr>
        <w:ind w:hanging="567"/>
        <w:jc w:val="both"/>
        <w:rPr>
          <w:b/>
          <w:i/>
          <w:szCs w:val="24"/>
        </w:rPr>
      </w:pPr>
      <w:r w:rsidRPr="000738F4">
        <w:rPr>
          <w:b/>
          <w:szCs w:val="24"/>
        </w:rPr>
        <w:t>4.3</w:t>
      </w:r>
      <w:r w:rsidRPr="007A1B72">
        <w:rPr>
          <w:szCs w:val="24"/>
        </w:rPr>
        <w:t xml:space="preserve"> </w:t>
      </w:r>
      <w:r w:rsidRPr="007A1B72">
        <w:rPr>
          <w:szCs w:val="24"/>
        </w:rPr>
        <w:tab/>
      </w:r>
      <w:r w:rsidRPr="000738F4">
        <w:rPr>
          <w:b/>
          <w:i/>
          <w:szCs w:val="24"/>
        </w:rPr>
        <w:t>Environment Directorate</w:t>
      </w:r>
    </w:p>
    <w:p w:rsidR="00DB5AA0" w:rsidRPr="00DB5AA0" w:rsidRDefault="00DB5AA0" w:rsidP="000738F4">
      <w:pPr>
        <w:numPr>
          <w:ilvl w:val="0"/>
          <w:numId w:val="44"/>
        </w:numPr>
        <w:jc w:val="both"/>
        <w:rPr>
          <w:rFonts w:eastAsia="Calibri" w:cs="Times New Roman"/>
          <w:szCs w:val="24"/>
        </w:rPr>
      </w:pPr>
      <w:r w:rsidRPr="00DB5AA0">
        <w:rPr>
          <w:rFonts w:eastAsia="Calibri" w:cs="Times New Roman"/>
          <w:szCs w:val="24"/>
        </w:rPr>
        <w:t>The forecast includes an increase of £16.3m in expenditure on the Heysham to M6 link road following</w:t>
      </w:r>
      <w:r w:rsidR="00F96D41">
        <w:rPr>
          <w:rFonts w:eastAsia="Calibri" w:cs="Times New Roman"/>
          <w:szCs w:val="24"/>
        </w:rPr>
        <w:t xml:space="preserve"> receipt of</w:t>
      </w:r>
      <w:r w:rsidRPr="00DB5AA0">
        <w:rPr>
          <w:rFonts w:eastAsia="Calibri" w:cs="Times New Roman"/>
          <w:szCs w:val="24"/>
        </w:rPr>
        <w:t xml:space="preserve"> the grant approval from the Department of Transport</w:t>
      </w:r>
      <w:r w:rsidR="00FD72EF">
        <w:rPr>
          <w:rFonts w:eastAsia="Calibri" w:cs="Times New Roman"/>
          <w:szCs w:val="24"/>
        </w:rPr>
        <w:t>.</w:t>
      </w:r>
      <w:bookmarkStart w:id="0" w:name="_GoBack"/>
      <w:bookmarkEnd w:id="0"/>
    </w:p>
    <w:p w:rsidR="00DB5AA0" w:rsidRPr="00DB5AA0" w:rsidRDefault="00DB5AA0" w:rsidP="000738F4">
      <w:pPr>
        <w:numPr>
          <w:ilvl w:val="0"/>
          <w:numId w:val="44"/>
        </w:numPr>
        <w:contextualSpacing/>
        <w:jc w:val="both"/>
        <w:rPr>
          <w:rFonts w:eastAsia="Calibri" w:cs="Times New Roman"/>
        </w:rPr>
      </w:pPr>
      <w:r w:rsidRPr="00DB5AA0">
        <w:rPr>
          <w:rFonts w:eastAsia="Calibri" w:cs="Times New Roman"/>
        </w:rPr>
        <w:t>£1.5m has slipped into future years on the L</w:t>
      </w:r>
      <w:r w:rsidR="00DC04C9">
        <w:rPr>
          <w:rFonts w:eastAsia="Calibri" w:cs="Times New Roman"/>
        </w:rPr>
        <w:t xml:space="preserve">ocal </w:t>
      </w:r>
      <w:r w:rsidRPr="00DB5AA0">
        <w:rPr>
          <w:rFonts w:eastAsia="Calibri" w:cs="Times New Roman"/>
        </w:rPr>
        <w:t>T</w:t>
      </w:r>
      <w:r w:rsidR="00DC04C9">
        <w:rPr>
          <w:rFonts w:eastAsia="Calibri" w:cs="Times New Roman"/>
        </w:rPr>
        <w:t xml:space="preserve">ransport </w:t>
      </w:r>
      <w:r w:rsidRPr="00DB5AA0">
        <w:rPr>
          <w:rFonts w:eastAsia="Calibri" w:cs="Times New Roman"/>
        </w:rPr>
        <w:t>P</w:t>
      </w:r>
      <w:r w:rsidR="00DC04C9">
        <w:rPr>
          <w:rFonts w:eastAsia="Calibri" w:cs="Times New Roman"/>
        </w:rPr>
        <w:t>lan</w:t>
      </w:r>
      <w:r w:rsidRPr="00DB5AA0">
        <w:rPr>
          <w:rFonts w:eastAsia="Calibri" w:cs="Times New Roman"/>
        </w:rPr>
        <w:t xml:space="preserve"> priority projects. The projects have been delayed as work is being undertaken with partners to determine the most appropriate design and programming to fit in with other projects. </w:t>
      </w:r>
    </w:p>
    <w:p w:rsidR="00DB5AA0" w:rsidRPr="00DB5AA0" w:rsidRDefault="00DB5AA0" w:rsidP="000738F4">
      <w:pPr>
        <w:ind w:left="720"/>
        <w:contextualSpacing/>
        <w:jc w:val="both"/>
        <w:rPr>
          <w:rFonts w:eastAsia="Calibri" w:cs="Times New Roman"/>
        </w:rPr>
      </w:pPr>
    </w:p>
    <w:p w:rsidR="000738F4" w:rsidRDefault="00DB5AA0" w:rsidP="000738F4">
      <w:pPr>
        <w:numPr>
          <w:ilvl w:val="0"/>
          <w:numId w:val="44"/>
        </w:numPr>
        <w:contextualSpacing/>
        <w:jc w:val="both"/>
        <w:rPr>
          <w:rFonts w:eastAsia="Calibri" w:cs="Times New Roman"/>
        </w:rPr>
      </w:pPr>
      <w:r w:rsidRPr="00DB5AA0">
        <w:rPr>
          <w:rFonts w:eastAsia="Calibri" w:cs="Times New Roman"/>
        </w:rPr>
        <w:t>£1m has slipped to 2014</w:t>
      </w:r>
      <w:r w:rsidR="00A50F9D">
        <w:rPr>
          <w:rFonts w:eastAsia="Calibri" w:cs="Times New Roman"/>
        </w:rPr>
        <w:t>/</w:t>
      </w:r>
      <w:r w:rsidRPr="00DB5AA0">
        <w:rPr>
          <w:rFonts w:eastAsia="Calibri" w:cs="Times New Roman"/>
        </w:rPr>
        <w:t>15 on the 2013</w:t>
      </w:r>
      <w:r w:rsidR="00A50F9D">
        <w:rPr>
          <w:rFonts w:eastAsia="Calibri" w:cs="Times New Roman"/>
        </w:rPr>
        <w:t>/</w:t>
      </w:r>
      <w:r w:rsidRPr="00DB5AA0">
        <w:rPr>
          <w:rFonts w:eastAsia="Calibri" w:cs="Times New Roman"/>
        </w:rPr>
        <w:t>14 Bridges programme, which has experienced delays as a result of co-ordinating work with external partners.</w:t>
      </w:r>
    </w:p>
    <w:p w:rsidR="00DB5AA0" w:rsidRPr="00DB5AA0" w:rsidRDefault="00DB5AA0" w:rsidP="000738F4">
      <w:pPr>
        <w:contextualSpacing/>
        <w:jc w:val="both"/>
        <w:rPr>
          <w:rFonts w:eastAsia="Calibri" w:cs="Times New Roman"/>
        </w:rPr>
      </w:pPr>
      <w:r w:rsidRPr="00DB5AA0">
        <w:rPr>
          <w:rFonts w:eastAsia="Calibri" w:cs="Times New Roman"/>
        </w:rPr>
        <w:t xml:space="preserve"> </w:t>
      </w:r>
    </w:p>
    <w:p w:rsidR="007A1B72" w:rsidRPr="007A1B72" w:rsidRDefault="007A1B72" w:rsidP="000738F4">
      <w:pPr>
        <w:ind w:hanging="567"/>
        <w:jc w:val="both"/>
        <w:rPr>
          <w:i/>
          <w:szCs w:val="24"/>
        </w:rPr>
      </w:pPr>
      <w:r w:rsidRPr="000738F4">
        <w:rPr>
          <w:b/>
          <w:szCs w:val="24"/>
        </w:rPr>
        <w:t>4.4</w:t>
      </w:r>
      <w:r w:rsidRPr="007A1B72">
        <w:rPr>
          <w:szCs w:val="24"/>
        </w:rPr>
        <w:t xml:space="preserve"> </w:t>
      </w:r>
      <w:r w:rsidRPr="007A1B72">
        <w:rPr>
          <w:szCs w:val="24"/>
        </w:rPr>
        <w:tab/>
      </w:r>
      <w:r w:rsidRPr="000738F4">
        <w:rPr>
          <w:b/>
          <w:i/>
          <w:szCs w:val="24"/>
        </w:rPr>
        <w:t>Corporate</w:t>
      </w:r>
    </w:p>
    <w:p w:rsidR="00DB5AA0" w:rsidRPr="00DB5AA0" w:rsidRDefault="00DB5AA0" w:rsidP="000738F4">
      <w:pPr>
        <w:numPr>
          <w:ilvl w:val="0"/>
          <w:numId w:val="45"/>
        </w:numPr>
        <w:jc w:val="both"/>
        <w:rPr>
          <w:rFonts w:eastAsia="Calibri" w:cs="Times New Roman"/>
          <w:szCs w:val="24"/>
        </w:rPr>
      </w:pPr>
      <w:r w:rsidRPr="00DB5AA0">
        <w:rPr>
          <w:rFonts w:eastAsia="Calibri" w:cs="Times New Roman"/>
          <w:szCs w:val="24"/>
        </w:rPr>
        <w:t xml:space="preserve">The payments schedule for the ISSIS and resolution replacement </w:t>
      </w:r>
      <w:r w:rsidR="00F96D41">
        <w:rPr>
          <w:rFonts w:eastAsia="Calibri" w:cs="Times New Roman"/>
          <w:szCs w:val="24"/>
        </w:rPr>
        <w:t xml:space="preserve">system </w:t>
      </w:r>
      <w:r w:rsidRPr="00DB5AA0">
        <w:rPr>
          <w:rFonts w:eastAsia="Calibri" w:cs="Times New Roman"/>
          <w:szCs w:val="24"/>
        </w:rPr>
        <w:t>now shows that spend in year is £2.9 m less than anticipated</w:t>
      </w:r>
      <w:r w:rsidR="00DC04C9">
        <w:rPr>
          <w:rFonts w:eastAsia="Calibri" w:cs="Times New Roman"/>
          <w:szCs w:val="24"/>
        </w:rPr>
        <w:t xml:space="preserve"> due to delays in the implementation of the new systems</w:t>
      </w:r>
      <w:r w:rsidRPr="00DB5AA0">
        <w:rPr>
          <w:rFonts w:eastAsia="Calibri" w:cs="Times New Roman"/>
          <w:szCs w:val="24"/>
        </w:rPr>
        <w:t>.</w:t>
      </w:r>
    </w:p>
    <w:p w:rsidR="00DB5AA0" w:rsidRPr="00DB5AA0" w:rsidRDefault="00DB5AA0" w:rsidP="00DB5AA0">
      <w:pPr>
        <w:numPr>
          <w:ilvl w:val="0"/>
          <w:numId w:val="45"/>
        </w:numPr>
        <w:rPr>
          <w:rFonts w:eastAsia="Calibri" w:cs="Times New Roman"/>
          <w:szCs w:val="24"/>
        </w:rPr>
      </w:pPr>
      <w:r w:rsidRPr="00DB5AA0">
        <w:rPr>
          <w:rFonts w:eastAsia="Calibri" w:cs="Times New Roman"/>
          <w:szCs w:val="24"/>
        </w:rPr>
        <w:t xml:space="preserve">The expenditure on Growing Places is £1.9m lower than previously expected. This is principally the result of a delayed start date on the Blackburn Cathedral Quarter project </w:t>
      </w:r>
      <w:r w:rsidRPr="00DB5AA0">
        <w:rPr>
          <w:rFonts w:eastAsia="Calibri" w:cs="Arial"/>
          <w:color w:val="000000"/>
        </w:rPr>
        <w:t>due to contract negotiations with various funders.</w:t>
      </w:r>
    </w:p>
    <w:p w:rsidR="007A1B72" w:rsidRPr="000738F4" w:rsidRDefault="007A1B72" w:rsidP="007A1B72">
      <w:pPr>
        <w:ind w:hanging="567"/>
        <w:jc w:val="both"/>
        <w:rPr>
          <w:b/>
          <w:i/>
          <w:szCs w:val="24"/>
        </w:rPr>
      </w:pPr>
      <w:r w:rsidRPr="000738F4">
        <w:rPr>
          <w:b/>
          <w:szCs w:val="24"/>
        </w:rPr>
        <w:t>4.5</w:t>
      </w:r>
      <w:r w:rsidRPr="007A1B72">
        <w:rPr>
          <w:szCs w:val="24"/>
        </w:rPr>
        <w:t xml:space="preserve"> </w:t>
      </w:r>
      <w:r w:rsidRPr="007A1B72">
        <w:rPr>
          <w:szCs w:val="24"/>
        </w:rPr>
        <w:tab/>
      </w:r>
      <w:r w:rsidRPr="000738F4">
        <w:rPr>
          <w:b/>
          <w:i/>
          <w:szCs w:val="24"/>
        </w:rPr>
        <w:t>Lancashire County Commercial Group</w:t>
      </w:r>
    </w:p>
    <w:p w:rsidR="00B55FCB" w:rsidRPr="000738F4" w:rsidRDefault="00DB5AA0" w:rsidP="000738F4">
      <w:pPr>
        <w:numPr>
          <w:ilvl w:val="0"/>
          <w:numId w:val="46"/>
        </w:numPr>
        <w:rPr>
          <w:rFonts w:eastAsia="Calibri" w:cs="Times New Roman"/>
          <w:szCs w:val="24"/>
        </w:rPr>
      </w:pPr>
      <w:r w:rsidRPr="00DB5AA0">
        <w:rPr>
          <w:rFonts w:eastAsia="Calibri" w:cs="Times New Roman"/>
          <w:szCs w:val="24"/>
        </w:rPr>
        <w:t xml:space="preserve">It is anticipated that there will be slippage </w:t>
      </w:r>
      <w:r w:rsidR="00DC04C9">
        <w:rPr>
          <w:rFonts w:eastAsia="Calibri" w:cs="Times New Roman"/>
          <w:szCs w:val="24"/>
        </w:rPr>
        <w:t>of £</w:t>
      </w:r>
      <w:r w:rsidR="00447890">
        <w:rPr>
          <w:rFonts w:eastAsia="Calibri" w:cs="Times New Roman"/>
          <w:szCs w:val="24"/>
        </w:rPr>
        <w:t>0.637</w:t>
      </w:r>
      <w:r w:rsidR="00DC04C9">
        <w:rPr>
          <w:rFonts w:eastAsia="Calibri" w:cs="Times New Roman"/>
          <w:szCs w:val="24"/>
        </w:rPr>
        <w:t xml:space="preserve">m </w:t>
      </w:r>
      <w:r w:rsidRPr="00DB5AA0">
        <w:rPr>
          <w:rFonts w:eastAsia="Calibri" w:cs="Times New Roman"/>
          <w:szCs w:val="24"/>
        </w:rPr>
        <w:t xml:space="preserve">on the vehicle replacement programme  </w:t>
      </w:r>
    </w:p>
    <w:p w:rsidR="00F64D9C" w:rsidRPr="00ED7BC1" w:rsidRDefault="00ED7BC1" w:rsidP="00DF35E4">
      <w:pPr>
        <w:pStyle w:val="ListParagraph"/>
        <w:numPr>
          <w:ilvl w:val="0"/>
          <w:numId w:val="32"/>
        </w:numPr>
        <w:ind w:left="0" w:hanging="567"/>
        <w:jc w:val="both"/>
        <w:rPr>
          <w:sz w:val="28"/>
          <w:szCs w:val="28"/>
        </w:rPr>
      </w:pPr>
      <w:r>
        <w:rPr>
          <w:b/>
          <w:sz w:val="28"/>
          <w:szCs w:val="28"/>
        </w:rPr>
        <w:t>Section C</w:t>
      </w:r>
      <w:r w:rsidR="00F64D9C" w:rsidRPr="00CC341E">
        <w:rPr>
          <w:b/>
          <w:sz w:val="28"/>
          <w:szCs w:val="28"/>
        </w:rPr>
        <w:t xml:space="preserve"> – </w:t>
      </w:r>
      <w:r>
        <w:rPr>
          <w:b/>
          <w:sz w:val="28"/>
          <w:szCs w:val="28"/>
        </w:rPr>
        <w:t>Impact on reserves</w:t>
      </w:r>
    </w:p>
    <w:p w:rsidR="00157FF9" w:rsidRDefault="00157FF9" w:rsidP="00157FF9">
      <w:pPr>
        <w:jc w:val="both"/>
        <w:rPr>
          <w:szCs w:val="24"/>
        </w:rPr>
      </w:pPr>
      <w:r>
        <w:rPr>
          <w:szCs w:val="24"/>
        </w:rPr>
        <w:t>Previous reports to Cabinet have identified additional one off resources from government in 2013/14 of £5.8m made up as follows: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72"/>
        <w:gridCol w:w="644"/>
      </w:tblGrid>
      <w:tr w:rsidR="00157FF9" w:rsidTr="006A6C12">
        <w:trPr>
          <w:trHeight w:val="295"/>
          <w:jc w:val="center"/>
        </w:trPr>
        <w:tc>
          <w:tcPr>
            <w:tcW w:w="0" w:type="auto"/>
          </w:tcPr>
          <w:p w:rsidR="00157FF9" w:rsidRPr="006A6C12" w:rsidRDefault="00157FF9" w:rsidP="00157FF9">
            <w:pPr>
              <w:jc w:val="both"/>
              <w:rPr>
                <w:szCs w:val="24"/>
              </w:rPr>
            </w:pPr>
          </w:p>
        </w:tc>
        <w:tc>
          <w:tcPr>
            <w:tcW w:w="644" w:type="dxa"/>
          </w:tcPr>
          <w:p w:rsidR="00157FF9" w:rsidRPr="006A6C12" w:rsidRDefault="00157FF9" w:rsidP="00157FF9">
            <w:pPr>
              <w:jc w:val="center"/>
              <w:rPr>
                <w:b/>
                <w:szCs w:val="24"/>
              </w:rPr>
            </w:pPr>
            <w:r w:rsidRPr="006A6C12">
              <w:rPr>
                <w:b/>
                <w:szCs w:val="24"/>
              </w:rPr>
              <w:t>£m</w:t>
            </w:r>
          </w:p>
        </w:tc>
      </w:tr>
      <w:tr w:rsidR="00157FF9" w:rsidTr="00157FF9">
        <w:trPr>
          <w:jc w:val="center"/>
        </w:trPr>
        <w:tc>
          <w:tcPr>
            <w:tcW w:w="0" w:type="auto"/>
          </w:tcPr>
          <w:p w:rsidR="00157FF9" w:rsidRPr="006A6C12" w:rsidRDefault="00157FF9" w:rsidP="00157FF9">
            <w:pPr>
              <w:rPr>
                <w:szCs w:val="24"/>
              </w:rPr>
            </w:pPr>
            <w:r w:rsidRPr="006A6C12">
              <w:rPr>
                <w:szCs w:val="24"/>
              </w:rPr>
              <w:t>LACSEG refund</w:t>
            </w:r>
          </w:p>
        </w:tc>
        <w:tc>
          <w:tcPr>
            <w:tcW w:w="644" w:type="dxa"/>
          </w:tcPr>
          <w:p w:rsidR="00157FF9" w:rsidRPr="006A6C12" w:rsidRDefault="00157FF9" w:rsidP="00157FF9">
            <w:pPr>
              <w:jc w:val="right"/>
              <w:rPr>
                <w:szCs w:val="24"/>
              </w:rPr>
            </w:pPr>
            <w:r w:rsidRPr="006A6C12">
              <w:rPr>
                <w:szCs w:val="24"/>
              </w:rPr>
              <w:t>3.6</w:t>
            </w:r>
          </w:p>
        </w:tc>
      </w:tr>
      <w:tr w:rsidR="00157FF9" w:rsidTr="00157FF9">
        <w:trPr>
          <w:jc w:val="center"/>
        </w:trPr>
        <w:tc>
          <w:tcPr>
            <w:tcW w:w="0" w:type="auto"/>
          </w:tcPr>
          <w:p w:rsidR="00157FF9" w:rsidRPr="006A6C12" w:rsidRDefault="00157FF9" w:rsidP="00157FF9">
            <w:pPr>
              <w:rPr>
                <w:szCs w:val="24"/>
              </w:rPr>
            </w:pPr>
            <w:r w:rsidRPr="006A6C12">
              <w:rPr>
                <w:szCs w:val="24"/>
              </w:rPr>
              <w:t>Additional New Homes Bonus</w:t>
            </w:r>
          </w:p>
        </w:tc>
        <w:tc>
          <w:tcPr>
            <w:tcW w:w="644" w:type="dxa"/>
          </w:tcPr>
          <w:p w:rsidR="00157FF9" w:rsidRPr="006A6C12" w:rsidRDefault="00157FF9" w:rsidP="00157FF9">
            <w:pPr>
              <w:jc w:val="right"/>
              <w:rPr>
                <w:szCs w:val="24"/>
              </w:rPr>
            </w:pPr>
            <w:r w:rsidRPr="006A6C12">
              <w:rPr>
                <w:szCs w:val="24"/>
              </w:rPr>
              <w:t>1.4</w:t>
            </w:r>
          </w:p>
        </w:tc>
      </w:tr>
      <w:tr w:rsidR="00157FF9" w:rsidTr="00157FF9">
        <w:trPr>
          <w:jc w:val="center"/>
        </w:trPr>
        <w:tc>
          <w:tcPr>
            <w:tcW w:w="0" w:type="auto"/>
          </w:tcPr>
          <w:p w:rsidR="00157FF9" w:rsidRPr="006A6C12" w:rsidRDefault="00157FF9" w:rsidP="00157FF9">
            <w:pPr>
              <w:rPr>
                <w:szCs w:val="24"/>
              </w:rPr>
            </w:pPr>
            <w:r w:rsidRPr="006A6C12">
              <w:rPr>
                <w:szCs w:val="24"/>
              </w:rPr>
              <w:t>Council Tax Support schemes – transition grant</w:t>
            </w:r>
          </w:p>
        </w:tc>
        <w:tc>
          <w:tcPr>
            <w:tcW w:w="644" w:type="dxa"/>
          </w:tcPr>
          <w:p w:rsidR="00157FF9" w:rsidRPr="006A6C12" w:rsidRDefault="00157FF9" w:rsidP="00157FF9">
            <w:pPr>
              <w:jc w:val="right"/>
              <w:rPr>
                <w:szCs w:val="24"/>
              </w:rPr>
            </w:pPr>
            <w:r w:rsidRPr="006A6C12">
              <w:rPr>
                <w:szCs w:val="24"/>
              </w:rPr>
              <w:t>0.8</w:t>
            </w:r>
          </w:p>
        </w:tc>
      </w:tr>
      <w:tr w:rsidR="00157FF9" w:rsidTr="00157FF9">
        <w:trPr>
          <w:jc w:val="center"/>
        </w:trPr>
        <w:tc>
          <w:tcPr>
            <w:tcW w:w="0" w:type="auto"/>
          </w:tcPr>
          <w:p w:rsidR="00157FF9" w:rsidRPr="006A6C12" w:rsidRDefault="00157FF9" w:rsidP="00157FF9">
            <w:pPr>
              <w:rPr>
                <w:szCs w:val="24"/>
              </w:rPr>
            </w:pPr>
          </w:p>
        </w:tc>
        <w:tc>
          <w:tcPr>
            <w:tcW w:w="644" w:type="dxa"/>
            <w:tcBorders>
              <w:top w:val="single" w:sz="4" w:space="0" w:color="auto"/>
            </w:tcBorders>
          </w:tcPr>
          <w:p w:rsidR="00157FF9" w:rsidRPr="006A6C12" w:rsidRDefault="00157FF9" w:rsidP="00157FF9">
            <w:pPr>
              <w:jc w:val="right"/>
              <w:rPr>
                <w:b/>
                <w:szCs w:val="24"/>
              </w:rPr>
            </w:pPr>
            <w:r w:rsidRPr="006A6C12">
              <w:rPr>
                <w:b/>
                <w:szCs w:val="24"/>
              </w:rPr>
              <w:t>5.8</w:t>
            </w:r>
          </w:p>
        </w:tc>
      </w:tr>
    </w:tbl>
    <w:p w:rsidR="00157FF9" w:rsidRDefault="00157FF9" w:rsidP="00157FF9">
      <w:pPr>
        <w:jc w:val="both"/>
        <w:rPr>
          <w:rFonts w:cs="Arial"/>
          <w:szCs w:val="24"/>
        </w:rPr>
      </w:pPr>
    </w:p>
    <w:p w:rsidR="009E7E4B" w:rsidRDefault="009E7E4B" w:rsidP="00157FF9">
      <w:pPr>
        <w:jc w:val="both"/>
        <w:rPr>
          <w:rFonts w:cs="Arial"/>
          <w:szCs w:val="24"/>
        </w:rPr>
      </w:pPr>
      <w:r>
        <w:rPr>
          <w:rFonts w:cs="Arial"/>
          <w:szCs w:val="24"/>
        </w:rPr>
        <w:t>Cabinet agreed that this additional one-off funding be transferred into the Council's downsizing reserve</w:t>
      </w:r>
      <w:r w:rsidR="008068FC">
        <w:rPr>
          <w:rFonts w:cs="Arial"/>
          <w:szCs w:val="24"/>
        </w:rPr>
        <w:t xml:space="preserve"> subject to the year-end position being break even or underspend</w:t>
      </w:r>
      <w:r>
        <w:rPr>
          <w:rFonts w:cs="Arial"/>
          <w:szCs w:val="24"/>
        </w:rPr>
        <w:t>.</w:t>
      </w:r>
      <w:r w:rsidR="00B95C69">
        <w:rPr>
          <w:rFonts w:cs="Arial"/>
          <w:szCs w:val="24"/>
        </w:rPr>
        <w:t xml:space="preserve"> </w:t>
      </w:r>
      <w:r w:rsidR="00FF2197">
        <w:rPr>
          <w:rFonts w:cs="Arial"/>
          <w:szCs w:val="24"/>
        </w:rPr>
        <w:t>The current monitoring position identifies an overspend of £2.409m</w:t>
      </w:r>
      <w:r w:rsidR="00FD285B">
        <w:rPr>
          <w:rFonts w:cs="Arial"/>
          <w:szCs w:val="24"/>
        </w:rPr>
        <w:t xml:space="preserve"> of which £0.700m is committed to being transferred to the Hardship Claims reserve,</w:t>
      </w:r>
      <w:r w:rsidR="00FF2197">
        <w:rPr>
          <w:rFonts w:cs="Arial"/>
          <w:szCs w:val="24"/>
        </w:rPr>
        <w:t xml:space="preserve"> therefore </w:t>
      </w:r>
      <w:r w:rsidR="00FD285B">
        <w:rPr>
          <w:rFonts w:cs="Arial"/>
          <w:szCs w:val="24"/>
        </w:rPr>
        <w:t>£2.6</w:t>
      </w:r>
      <w:r w:rsidR="00FF2197">
        <w:rPr>
          <w:rFonts w:cs="Arial"/>
          <w:szCs w:val="24"/>
        </w:rPr>
        <w:t xml:space="preserve">91m is available to transfer </w:t>
      </w:r>
      <w:r w:rsidR="00B95C69">
        <w:rPr>
          <w:rFonts w:cs="Arial"/>
          <w:szCs w:val="24"/>
        </w:rPr>
        <w:t>into the downsizing reserve</w:t>
      </w:r>
      <w:r w:rsidR="00FF2197">
        <w:rPr>
          <w:rFonts w:cs="Arial"/>
          <w:szCs w:val="24"/>
        </w:rPr>
        <w:t>.</w:t>
      </w:r>
    </w:p>
    <w:p w:rsidR="00157FF9" w:rsidRDefault="00157FF9" w:rsidP="00157FF9">
      <w:pPr>
        <w:jc w:val="both"/>
        <w:rPr>
          <w:rFonts w:cs="Arial"/>
          <w:szCs w:val="24"/>
        </w:rPr>
      </w:pPr>
      <w:r>
        <w:rPr>
          <w:rFonts w:cs="Arial"/>
          <w:szCs w:val="24"/>
        </w:rPr>
        <w:t>The following further one-off resources have been identified in 2013/14 as being available for release from the Council's earmarked reserves:</w:t>
      </w:r>
    </w:p>
    <w:tbl>
      <w:tblPr>
        <w:tblStyle w:val="TableGrid"/>
        <w:tblW w:w="0" w:type="auto"/>
        <w:tblLook w:val="04A0" w:firstRow="1" w:lastRow="0" w:firstColumn="1" w:lastColumn="0" w:noHBand="0" w:noVBand="1"/>
      </w:tblPr>
      <w:tblGrid>
        <w:gridCol w:w="535"/>
        <w:gridCol w:w="6978"/>
        <w:gridCol w:w="716"/>
      </w:tblGrid>
      <w:tr w:rsidR="00157FF9" w:rsidRPr="006A6C12" w:rsidTr="00157FF9">
        <w:tc>
          <w:tcPr>
            <w:tcW w:w="0" w:type="auto"/>
            <w:gridSpan w:val="2"/>
            <w:tcBorders>
              <w:top w:val="nil"/>
              <w:left w:val="nil"/>
              <w:bottom w:val="nil"/>
              <w:right w:val="nil"/>
            </w:tcBorders>
          </w:tcPr>
          <w:p w:rsidR="00157FF9" w:rsidRPr="006A6C12" w:rsidRDefault="00157FF9" w:rsidP="00157FF9">
            <w:pPr>
              <w:jc w:val="both"/>
              <w:rPr>
                <w:rFonts w:cs="Arial"/>
                <w:szCs w:val="24"/>
              </w:rPr>
            </w:pPr>
          </w:p>
        </w:tc>
        <w:tc>
          <w:tcPr>
            <w:tcW w:w="716" w:type="dxa"/>
            <w:tcBorders>
              <w:top w:val="nil"/>
              <w:left w:val="nil"/>
              <w:bottom w:val="nil"/>
              <w:right w:val="nil"/>
            </w:tcBorders>
          </w:tcPr>
          <w:p w:rsidR="00157FF9" w:rsidRPr="006A6C12" w:rsidRDefault="00157FF9" w:rsidP="00157FF9">
            <w:pPr>
              <w:jc w:val="center"/>
              <w:rPr>
                <w:rFonts w:cs="Arial"/>
                <w:b/>
                <w:szCs w:val="24"/>
              </w:rPr>
            </w:pPr>
            <w:r w:rsidRPr="006A6C12">
              <w:rPr>
                <w:rFonts w:cs="Arial"/>
                <w:b/>
                <w:szCs w:val="24"/>
              </w:rPr>
              <w:t>£m</w:t>
            </w:r>
          </w:p>
        </w:tc>
      </w:tr>
      <w:tr w:rsidR="00157FF9" w:rsidRPr="006A6C12" w:rsidTr="00157FF9">
        <w:tc>
          <w:tcPr>
            <w:tcW w:w="0" w:type="auto"/>
            <w:gridSpan w:val="2"/>
            <w:tcBorders>
              <w:top w:val="nil"/>
              <w:left w:val="nil"/>
              <w:bottom w:val="nil"/>
              <w:right w:val="nil"/>
            </w:tcBorders>
          </w:tcPr>
          <w:p w:rsidR="00157FF9" w:rsidRPr="006A6C12" w:rsidRDefault="00157FF9" w:rsidP="00157FF9">
            <w:pPr>
              <w:rPr>
                <w:rFonts w:cs="Arial"/>
                <w:szCs w:val="24"/>
              </w:rPr>
            </w:pPr>
            <w:r w:rsidRPr="006A6C12">
              <w:rPr>
                <w:szCs w:val="24"/>
              </w:rPr>
              <w:t>Release from CYP DFM reserve</w:t>
            </w:r>
          </w:p>
        </w:tc>
        <w:tc>
          <w:tcPr>
            <w:tcW w:w="716" w:type="dxa"/>
            <w:tcBorders>
              <w:top w:val="nil"/>
              <w:left w:val="nil"/>
              <w:bottom w:val="nil"/>
              <w:right w:val="nil"/>
            </w:tcBorders>
          </w:tcPr>
          <w:p w:rsidR="00157FF9" w:rsidRPr="006A6C12" w:rsidRDefault="00157FF9" w:rsidP="00157FF9">
            <w:pPr>
              <w:jc w:val="right"/>
              <w:rPr>
                <w:rFonts w:cs="Arial"/>
                <w:szCs w:val="24"/>
              </w:rPr>
            </w:pPr>
            <w:r w:rsidRPr="006A6C12">
              <w:rPr>
                <w:szCs w:val="24"/>
              </w:rPr>
              <w:t>0.90</w:t>
            </w:r>
          </w:p>
        </w:tc>
      </w:tr>
      <w:tr w:rsidR="00157FF9" w:rsidRPr="006A6C12" w:rsidTr="00157FF9">
        <w:tc>
          <w:tcPr>
            <w:tcW w:w="0" w:type="auto"/>
            <w:gridSpan w:val="2"/>
            <w:tcBorders>
              <w:top w:val="nil"/>
              <w:left w:val="nil"/>
              <w:bottom w:val="nil"/>
              <w:right w:val="nil"/>
            </w:tcBorders>
          </w:tcPr>
          <w:p w:rsidR="00157FF9" w:rsidRPr="006A6C12" w:rsidRDefault="00157FF9" w:rsidP="00157FF9">
            <w:pPr>
              <w:rPr>
                <w:rFonts w:cs="Arial"/>
                <w:szCs w:val="24"/>
              </w:rPr>
            </w:pPr>
            <w:r w:rsidRPr="006A6C12">
              <w:rPr>
                <w:szCs w:val="24"/>
              </w:rPr>
              <w:t>Release from Carbon Tax provision</w:t>
            </w:r>
          </w:p>
        </w:tc>
        <w:tc>
          <w:tcPr>
            <w:tcW w:w="716" w:type="dxa"/>
            <w:tcBorders>
              <w:top w:val="nil"/>
              <w:left w:val="nil"/>
              <w:bottom w:val="nil"/>
              <w:right w:val="nil"/>
            </w:tcBorders>
          </w:tcPr>
          <w:p w:rsidR="00157FF9" w:rsidRPr="006A6C12" w:rsidRDefault="00157FF9" w:rsidP="00157FF9">
            <w:pPr>
              <w:jc w:val="right"/>
              <w:rPr>
                <w:rFonts w:cs="Arial"/>
                <w:szCs w:val="24"/>
              </w:rPr>
            </w:pPr>
            <w:r w:rsidRPr="006A6C12">
              <w:rPr>
                <w:szCs w:val="24"/>
              </w:rPr>
              <w:t>0.60</w:t>
            </w:r>
          </w:p>
        </w:tc>
      </w:tr>
      <w:tr w:rsidR="00157FF9" w:rsidRPr="006A6C12" w:rsidTr="00157FF9">
        <w:tc>
          <w:tcPr>
            <w:tcW w:w="0" w:type="auto"/>
            <w:gridSpan w:val="2"/>
            <w:tcBorders>
              <w:top w:val="nil"/>
              <w:left w:val="nil"/>
              <w:bottom w:val="nil"/>
              <w:right w:val="nil"/>
            </w:tcBorders>
          </w:tcPr>
          <w:p w:rsidR="00157FF9" w:rsidRPr="006A6C12" w:rsidRDefault="00157FF9" w:rsidP="00157FF9">
            <w:pPr>
              <w:rPr>
                <w:rFonts w:cs="Arial"/>
                <w:szCs w:val="24"/>
              </w:rPr>
            </w:pPr>
            <w:r w:rsidRPr="006A6C12">
              <w:rPr>
                <w:rFonts w:cs="Arial"/>
                <w:szCs w:val="24"/>
              </w:rPr>
              <w:t>Available for release from the Equal Pay reserve</w:t>
            </w:r>
          </w:p>
        </w:tc>
        <w:tc>
          <w:tcPr>
            <w:tcW w:w="716" w:type="dxa"/>
            <w:tcBorders>
              <w:top w:val="nil"/>
              <w:left w:val="nil"/>
              <w:bottom w:val="nil"/>
              <w:right w:val="nil"/>
            </w:tcBorders>
          </w:tcPr>
          <w:p w:rsidR="00157FF9" w:rsidRPr="006A6C12" w:rsidRDefault="00157FF9" w:rsidP="00157FF9">
            <w:pPr>
              <w:jc w:val="right"/>
              <w:rPr>
                <w:rFonts w:cs="Arial"/>
                <w:szCs w:val="24"/>
              </w:rPr>
            </w:pPr>
            <w:r w:rsidRPr="006A6C12">
              <w:rPr>
                <w:rFonts w:cs="Arial"/>
                <w:szCs w:val="24"/>
              </w:rPr>
              <w:t>0.60</w:t>
            </w:r>
          </w:p>
        </w:tc>
      </w:tr>
      <w:tr w:rsidR="00157FF9" w:rsidRPr="006A6C12" w:rsidTr="00157FF9">
        <w:tc>
          <w:tcPr>
            <w:tcW w:w="0" w:type="auto"/>
            <w:gridSpan w:val="2"/>
            <w:tcBorders>
              <w:top w:val="nil"/>
              <w:left w:val="nil"/>
              <w:bottom w:val="nil"/>
              <w:right w:val="nil"/>
            </w:tcBorders>
          </w:tcPr>
          <w:p w:rsidR="00157FF9" w:rsidRPr="006A6C12" w:rsidRDefault="00157FF9" w:rsidP="00157FF9">
            <w:pPr>
              <w:rPr>
                <w:rFonts w:cs="Arial"/>
                <w:szCs w:val="24"/>
              </w:rPr>
            </w:pPr>
            <w:r w:rsidRPr="006A6C12">
              <w:rPr>
                <w:rFonts w:cs="Arial"/>
                <w:szCs w:val="24"/>
              </w:rPr>
              <w:t>Amounts available for release from the Strategic Investment reserve:</w:t>
            </w:r>
          </w:p>
        </w:tc>
        <w:tc>
          <w:tcPr>
            <w:tcW w:w="716" w:type="dxa"/>
            <w:tcBorders>
              <w:top w:val="nil"/>
              <w:left w:val="nil"/>
              <w:bottom w:val="nil"/>
              <w:right w:val="nil"/>
            </w:tcBorders>
          </w:tcPr>
          <w:p w:rsidR="00157FF9" w:rsidRPr="006A6C12" w:rsidRDefault="00157FF9" w:rsidP="00157FF9">
            <w:pPr>
              <w:jc w:val="right"/>
              <w:rPr>
                <w:rFonts w:cs="Arial"/>
                <w:szCs w:val="24"/>
              </w:rPr>
            </w:pPr>
          </w:p>
        </w:tc>
      </w:tr>
      <w:tr w:rsidR="00157FF9" w:rsidRPr="006A6C12" w:rsidTr="00157FF9">
        <w:tc>
          <w:tcPr>
            <w:tcW w:w="0" w:type="auto"/>
            <w:tcBorders>
              <w:top w:val="nil"/>
              <w:left w:val="nil"/>
              <w:bottom w:val="nil"/>
              <w:right w:val="nil"/>
            </w:tcBorders>
          </w:tcPr>
          <w:p w:rsidR="00157FF9" w:rsidRPr="006A6C12" w:rsidRDefault="00157FF9" w:rsidP="00157FF9">
            <w:pPr>
              <w:rPr>
                <w:rFonts w:cs="Arial"/>
                <w:szCs w:val="24"/>
              </w:rPr>
            </w:pPr>
          </w:p>
        </w:tc>
        <w:tc>
          <w:tcPr>
            <w:tcW w:w="0" w:type="auto"/>
            <w:tcBorders>
              <w:top w:val="nil"/>
              <w:left w:val="nil"/>
              <w:bottom w:val="nil"/>
              <w:right w:val="nil"/>
            </w:tcBorders>
          </w:tcPr>
          <w:p w:rsidR="00157FF9" w:rsidRPr="006A6C12" w:rsidRDefault="00157FF9" w:rsidP="00157FF9">
            <w:pPr>
              <w:rPr>
                <w:rFonts w:cs="Arial"/>
                <w:szCs w:val="24"/>
              </w:rPr>
            </w:pPr>
            <w:r w:rsidRPr="006A6C12">
              <w:rPr>
                <w:rFonts w:cs="Arial"/>
                <w:szCs w:val="24"/>
              </w:rPr>
              <w:t>Young Peoples' transport</w:t>
            </w:r>
          </w:p>
        </w:tc>
        <w:tc>
          <w:tcPr>
            <w:tcW w:w="716" w:type="dxa"/>
            <w:tcBorders>
              <w:top w:val="nil"/>
              <w:left w:val="nil"/>
              <w:bottom w:val="nil"/>
              <w:right w:val="nil"/>
            </w:tcBorders>
          </w:tcPr>
          <w:p w:rsidR="00157FF9" w:rsidRPr="006A6C12" w:rsidRDefault="00157FF9" w:rsidP="00157FF9">
            <w:pPr>
              <w:jc w:val="right"/>
              <w:rPr>
                <w:rFonts w:cs="Arial"/>
                <w:szCs w:val="24"/>
              </w:rPr>
            </w:pPr>
            <w:r w:rsidRPr="006A6C12">
              <w:rPr>
                <w:rFonts w:cs="Arial"/>
                <w:szCs w:val="24"/>
              </w:rPr>
              <w:t>2.25</w:t>
            </w:r>
          </w:p>
        </w:tc>
      </w:tr>
      <w:tr w:rsidR="00157FF9" w:rsidRPr="006A6C12" w:rsidTr="00157FF9">
        <w:tc>
          <w:tcPr>
            <w:tcW w:w="0" w:type="auto"/>
            <w:tcBorders>
              <w:top w:val="nil"/>
              <w:left w:val="nil"/>
              <w:bottom w:val="nil"/>
              <w:right w:val="nil"/>
            </w:tcBorders>
          </w:tcPr>
          <w:p w:rsidR="00157FF9" w:rsidRPr="006A6C12" w:rsidRDefault="00157FF9" w:rsidP="00157FF9">
            <w:pPr>
              <w:rPr>
                <w:rFonts w:cs="Arial"/>
                <w:szCs w:val="24"/>
              </w:rPr>
            </w:pPr>
          </w:p>
        </w:tc>
        <w:tc>
          <w:tcPr>
            <w:tcW w:w="0" w:type="auto"/>
            <w:tcBorders>
              <w:top w:val="nil"/>
              <w:left w:val="nil"/>
              <w:bottom w:val="nil"/>
              <w:right w:val="nil"/>
            </w:tcBorders>
          </w:tcPr>
          <w:p w:rsidR="00157FF9" w:rsidRPr="006A6C12" w:rsidRDefault="00157FF9" w:rsidP="00157FF9">
            <w:pPr>
              <w:rPr>
                <w:rFonts w:cs="Arial"/>
                <w:szCs w:val="24"/>
              </w:rPr>
            </w:pPr>
            <w:r w:rsidRPr="006A6C12">
              <w:rPr>
                <w:rFonts w:cs="Arial"/>
                <w:szCs w:val="24"/>
              </w:rPr>
              <w:t>Changing Places</w:t>
            </w:r>
          </w:p>
        </w:tc>
        <w:tc>
          <w:tcPr>
            <w:tcW w:w="716" w:type="dxa"/>
            <w:tcBorders>
              <w:top w:val="nil"/>
              <w:left w:val="nil"/>
              <w:bottom w:val="nil"/>
              <w:right w:val="nil"/>
            </w:tcBorders>
          </w:tcPr>
          <w:p w:rsidR="00157FF9" w:rsidRPr="006A6C12" w:rsidRDefault="00157FF9" w:rsidP="00157FF9">
            <w:pPr>
              <w:jc w:val="right"/>
              <w:rPr>
                <w:rFonts w:cs="Arial"/>
                <w:szCs w:val="24"/>
              </w:rPr>
            </w:pPr>
            <w:r w:rsidRPr="006A6C12">
              <w:rPr>
                <w:rFonts w:cs="Arial"/>
                <w:szCs w:val="24"/>
              </w:rPr>
              <w:t>0.50</w:t>
            </w:r>
          </w:p>
        </w:tc>
      </w:tr>
      <w:tr w:rsidR="00157FF9" w:rsidRPr="006A6C12" w:rsidTr="00157FF9">
        <w:tc>
          <w:tcPr>
            <w:tcW w:w="0" w:type="auto"/>
            <w:gridSpan w:val="2"/>
            <w:tcBorders>
              <w:top w:val="nil"/>
              <w:left w:val="nil"/>
              <w:bottom w:val="nil"/>
              <w:right w:val="nil"/>
            </w:tcBorders>
          </w:tcPr>
          <w:p w:rsidR="00157FF9" w:rsidRPr="006A6C12" w:rsidRDefault="00157FF9" w:rsidP="00157FF9">
            <w:pPr>
              <w:rPr>
                <w:rFonts w:cs="Arial"/>
                <w:szCs w:val="24"/>
              </w:rPr>
            </w:pPr>
            <w:r w:rsidRPr="006A6C12">
              <w:rPr>
                <w:rFonts w:cs="Arial"/>
                <w:szCs w:val="24"/>
              </w:rPr>
              <w:t>Available for release from the Performance Reward Grant reserve</w:t>
            </w:r>
          </w:p>
        </w:tc>
        <w:tc>
          <w:tcPr>
            <w:tcW w:w="716" w:type="dxa"/>
            <w:tcBorders>
              <w:top w:val="nil"/>
              <w:left w:val="nil"/>
              <w:right w:val="nil"/>
            </w:tcBorders>
          </w:tcPr>
          <w:p w:rsidR="00157FF9" w:rsidRPr="006A6C12" w:rsidRDefault="00157FF9" w:rsidP="00157FF9">
            <w:pPr>
              <w:jc w:val="right"/>
              <w:rPr>
                <w:rFonts w:cs="Arial"/>
                <w:szCs w:val="24"/>
              </w:rPr>
            </w:pPr>
            <w:r w:rsidRPr="006A6C12">
              <w:rPr>
                <w:rFonts w:cs="Arial"/>
                <w:szCs w:val="24"/>
              </w:rPr>
              <w:t>1.00</w:t>
            </w:r>
          </w:p>
        </w:tc>
      </w:tr>
      <w:tr w:rsidR="00157FF9" w:rsidRPr="006A6C12" w:rsidTr="00157FF9">
        <w:tc>
          <w:tcPr>
            <w:tcW w:w="0" w:type="auto"/>
            <w:gridSpan w:val="2"/>
            <w:tcBorders>
              <w:top w:val="nil"/>
              <w:left w:val="nil"/>
              <w:bottom w:val="nil"/>
              <w:right w:val="nil"/>
            </w:tcBorders>
          </w:tcPr>
          <w:p w:rsidR="00157FF9" w:rsidRPr="006A6C12" w:rsidRDefault="00157FF9" w:rsidP="00157FF9">
            <w:pPr>
              <w:rPr>
                <w:rFonts w:cs="Arial"/>
                <w:b/>
                <w:szCs w:val="24"/>
              </w:rPr>
            </w:pPr>
            <w:r w:rsidRPr="006A6C12">
              <w:rPr>
                <w:rFonts w:cs="Arial"/>
                <w:b/>
                <w:szCs w:val="24"/>
              </w:rPr>
              <w:t>Additional one-off resources</w:t>
            </w:r>
          </w:p>
        </w:tc>
        <w:tc>
          <w:tcPr>
            <w:tcW w:w="716" w:type="dxa"/>
            <w:tcBorders>
              <w:left w:val="nil"/>
              <w:bottom w:val="nil"/>
              <w:right w:val="nil"/>
            </w:tcBorders>
          </w:tcPr>
          <w:p w:rsidR="00157FF9" w:rsidRPr="006A6C12" w:rsidRDefault="00157FF9" w:rsidP="00157FF9">
            <w:pPr>
              <w:jc w:val="right"/>
              <w:rPr>
                <w:rFonts w:cs="Arial"/>
                <w:b/>
                <w:szCs w:val="24"/>
              </w:rPr>
            </w:pPr>
            <w:r w:rsidRPr="006A6C12">
              <w:rPr>
                <w:rFonts w:cs="Arial"/>
                <w:b/>
                <w:szCs w:val="24"/>
              </w:rPr>
              <w:t>5.85</w:t>
            </w:r>
          </w:p>
        </w:tc>
      </w:tr>
    </w:tbl>
    <w:p w:rsidR="00157FF9" w:rsidRDefault="00157FF9" w:rsidP="00157FF9">
      <w:pPr>
        <w:jc w:val="both"/>
        <w:rPr>
          <w:rFonts w:cs="Arial"/>
          <w:szCs w:val="24"/>
        </w:rPr>
      </w:pPr>
    </w:p>
    <w:p w:rsidR="00157FF9" w:rsidRPr="00AD6B3D" w:rsidRDefault="009E7E4B" w:rsidP="00157FF9">
      <w:pPr>
        <w:autoSpaceDE w:val="0"/>
        <w:autoSpaceDN w:val="0"/>
        <w:adjustRightInd w:val="0"/>
        <w:jc w:val="both"/>
        <w:rPr>
          <w:rFonts w:ascii="TT7DA6Co00" w:hAnsi="TT7DA6Co00" w:cs="TT7DA6Co00"/>
          <w:szCs w:val="24"/>
        </w:rPr>
      </w:pPr>
      <w:r w:rsidRPr="00AD6B3D">
        <w:rPr>
          <w:rFonts w:ascii="TT7DA6Co00" w:hAnsi="TT7DA6Co00" w:cs="TT7DA6Co00"/>
          <w:szCs w:val="24"/>
        </w:rPr>
        <w:t xml:space="preserve">Cabinet </w:t>
      </w:r>
      <w:r w:rsidR="00157FF9" w:rsidRPr="00AD6B3D">
        <w:rPr>
          <w:rFonts w:ascii="TT7DA6Co00" w:hAnsi="TT7DA6Co00" w:cs="TT7DA6Co00"/>
          <w:szCs w:val="24"/>
        </w:rPr>
        <w:t xml:space="preserve">agreed that the cost of the introduction of the Living Wage in 2013/14 of £0.173m be met from resources released from earmarked reserves and the remaining balance </w:t>
      </w:r>
      <w:r w:rsidR="00B95C69" w:rsidRPr="00AD6B3D">
        <w:rPr>
          <w:rFonts w:ascii="TT7DA6Co00" w:hAnsi="TT7DA6Co00" w:cs="TT7DA6Co00"/>
          <w:szCs w:val="24"/>
        </w:rPr>
        <w:t>of £</w:t>
      </w:r>
      <w:r w:rsidR="00FD285B" w:rsidRPr="00AD6B3D">
        <w:rPr>
          <w:rFonts w:ascii="TT7DA6Co00" w:hAnsi="TT7DA6Co00" w:cs="TT7DA6Co00"/>
          <w:szCs w:val="24"/>
        </w:rPr>
        <w:t>5.677</w:t>
      </w:r>
      <w:r w:rsidR="00B95C69" w:rsidRPr="00AD6B3D">
        <w:rPr>
          <w:rFonts w:ascii="TT7DA6Co00" w:hAnsi="TT7DA6Co00" w:cs="TT7DA6Co00"/>
          <w:szCs w:val="24"/>
        </w:rPr>
        <w:t xml:space="preserve">m </w:t>
      </w:r>
      <w:r w:rsidR="00157FF9" w:rsidRPr="00AD6B3D">
        <w:rPr>
          <w:rFonts w:ascii="TT7DA6Co00" w:hAnsi="TT7DA6Co00" w:cs="TT7DA6Co00"/>
          <w:szCs w:val="24"/>
        </w:rPr>
        <w:t>be transferred into the Council's downsizing reserve.</w:t>
      </w:r>
    </w:p>
    <w:p w:rsidR="00FD285B" w:rsidRDefault="00FD285B" w:rsidP="00FD285B">
      <w:pPr>
        <w:jc w:val="both"/>
        <w:rPr>
          <w:szCs w:val="24"/>
        </w:rPr>
      </w:pPr>
      <w:r w:rsidRPr="00AD6B3D">
        <w:rPr>
          <w:szCs w:val="24"/>
        </w:rPr>
        <w:t>In addition to the resources identified above</w:t>
      </w:r>
      <w:r w:rsidR="00AD6B3D" w:rsidRPr="00AD6B3D">
        <w:rPr>
          <w:szCs w:val="24"/>
        </w:rPr>
        <w:t>,</w:t>
      </w:r>
      <w:r w:rsidRPr="00AD6B3D">
        <w:rPr>
          <w:szCs w:val="24"/>
        </w:rPr>
        <w:t xml:space="preserve"> the ongoing review of the Council's balance sheet has identified unrealised commitments from the procurement system relating to previous financial years that are no longer required to be met. This results in resource being available for release of £1.8m. It is recommended that this resource be transferred in to the Council's Downsizing reserve.</w:t>
      </w:r>
    </w:p>
    <w:p w:rsidR="00157FF9" w:rsidRPr="00AD6B3D" w:rsidRDefault="00157FF9" w:rsidP="00157FF9">
      <w:pPr>
        <w:autoSpaceDE w:val="0"/>
        <w:autoSpaceDN w:val="0"/>
        <w:adjustRightInd w:val="0"/>
        <w:jc w:val="both"/>
        <w:rPr>
          <w:rFonts w:cs="Arial"/>
          <w:szCs w:val="24"/>
        </w:rPr>
      </w:pPr>
      <w:r w:rsidRPr="00AD6B3D">
        <w:rPr>
          <w:rFonts w:ascii="TT7DA6Co00" w:hAnsi="TT7DA6Co00" w:cs="TT7DA6Co00"/>
          <w:szCs w:val="24"/>
        </w:rPr>
        <w:t xml:space="preserve">The Council has approved a number of voluntary redundancies in 2013/14 and with the potential cases awaiting approval, as at the end of </w:t>
      </w:r>
      <w:r w:rsidR="008068FC" w:rsidRPr="00AD6B3D">
        <w:rPr>
          <w:rFonts w:ascii="TT7DA6Co00" w:hAnsi="TT7DA6Co00" w:cs="TT7DA6Co00"/>
          <w:szCs w:val="24"/>
        </w:rPr>
        <w:t>December</w:t>
      </w:r>
      <w:r w:rsidRPr="00AD6B3D">
        <w:rPr>
          <w:rFonts w:ascii="TT7DA6Co00" w:hAnsi="TT7DA6Co00" w:cs="TT7DA6Co00"/>
          <w:szCs w:val="24"/>
        </w:rPr>
        <w:t xml:space="preserve"> the cost of these </w:t>
      </w:r>
      <w:r w:rsidR="008068FC" w:rsidRPr="00AD6B3D">
        <w:rPr>
          <w:rFonts w:ascii="TT7DA6Co00" w:hAnsi="TT7DA6Co00" w:cs="TT7DA6Co00"/>
          <w:szCs w:val="24"/>
        </w:rPr>
        <w:t>is forecast to be</w:t>
      </w:r>
      <w:r w:rsidRPr="00AD6B3D">
        <w:rPr>
          <w:rFonts w:ascii="TT7DA6Co00" w:hAnsi="TT7DA6Co00" w:cs="TT7DA6Co00"/>
          <w:szCs w:val="24"/>
        </w:rPr>
        <w:t xml:space="preserve"> £</w:t>
      </w:r>
      <w:r w:rsidR="008068FC" w:rsidRPr="00AD6B3D">
        <w:rPr>
          <w:rFonts w:ascii="TT7DA6Co00" w:hAnsi="TT7DA6Co00" w:cs="TT7DA6Co00"/>
          <w:szCs w:val="24"/>
        </w:rPr>
        <w:t>4.7</w:t>
      </w:r>
      <w:r w:rsidRPr="00AD6B3D">
        <w:rPr>
          <w:rFonts w:ascii="TT7DA6Co00" w:hAnsi="TT7DA6Co00" w:cs="TT7DA6Co00"/>
          <w:szCs w:val="24"/>
        </w:rPr>
        <w:t>m</w:t>
      </w:r>
      <w:r w:rsidR="008068FC" w:rsidRPr="00AD6B3D">
        <w:rPr>
          <w:rFonts w:ascii="TT7DA6Co00" w:hAnsi="TT7DA6Co00" w:cs="TT7DA6Co00"/>
          <w:szCs w:val="24"/>
        </w:rPr>
        <w:t xml:space="preserve"> by year end</w:t>
      </w:r>
      <w:r w:rsidRPr="00AD6B3D">
        <w:rPr>
          <w:rFonts w:ascii="TT7DA6Co00" w:hAnsi="TT7DA6Co00" w:cs="TT7DA6Co00"/>
          <w:szCs w:val="24"/>
        </w:rPr>
        <w:t>. This cost reduces the balance available in the Voluntary Severance reserve to £</w:t>
      </w:r>
      <w:r w:rsidR="008068FC" w:rsidRPr="00AD6B3D">
        <w:rPr>
          <w:rFonts w:ascii="TT7DA6Co00" w:hAnsi="TT7DA6Co00" w:cs="TT7DA6Co00"/>
          <w:szCs w:val="24"/>
        </w:rPr>
        <w:t>3.2</w:t>
      </w:r>
      <w:r w:rsidRPr="00AD6B3D">
        <w:rPr>
          <w:rFonts w:ascii="TT7DA6Co00" w:hAnsi="TT7DA6Co00" w:cs="TT7DA6Co00"/>
          <w:szCs w:val="24"/>
        </w:rPr>
        <w:t>m which at this point in the year is considered adequate to meet any further demand in 2013/14.</w:t>
      </w:r>
    </w:p>
    <w:p w:rsidR="00ED7BC1" w:rsidRPr="00AD6B3D" w:rsidRDefault="00A3289E" w:rsidP="00ED7BC1">
      <w:pPr>
        <w:pStyle w:val="ListParagraph"/>
        <w:ind w:left="0"/>
        <w:jc w:val="both"/>
        <w:rPr>
          <w:szCs w:val="24"/>
        </w:rPr>
      </w:pPr>
      <w:r w:rsidRPr="00AD6B3D">
        <w:rPr>
          <w:szCs w:val="24"/>
        </w:rPr>
        <w:t>The</w:t>
      </w:r>
      <w:r w:rsidR="00B95C69" w:rsidRPr="00AD6B3D">
        <w:rPr>
          <w:szCs w:val="24"/>
        </w:rPr>
        <w:t xml:space="preserve">re is no </w:t>
      </w:r>
      <w:r w:rsidRPr="00AD6B3D">
        <w:rPr>
          <w:szCs w:val="24"/>
        </w:rPr>
        <w:t>i</w:t>
      </w:r>
      <w:r w:rsidR="0012578C" w:rsidRPr="00AD6B3D">
        <w:rPr>
          <w:szCs w:val="24"/>
        </w:rPr>
        <w:t xml:space="preserve">mpact </w:t>
      </w:r>
      <w:r w:rsidR="00B95C69" w:rsidRPr="00AD6B3D">
        <w:rPr>
          <w:szCs w:val="24"/>
        </w:rPr>
        <w:t xml:space="preserve">on the </w:t>
      </w:r>
      <w:r w:rsidR="0012578C" w:rsidRPr="00AD6B3D">
        <w:rPr>
          <w:szCs w:val="24"/>
        </w:rPr>
        <w:t>the County Fund Balance</w:t>
      </w:r>
      <w:r w:rsidRPr="00AD6B3D">
        <w:rPr>
          <w:szCs w:val="24"/>
        </w:rPr>
        <w:t xml:space="preserve"> </w:t>
      </w:r>
      <w:r w:rsidR="00E95442" w:rsidRPr="00AD6B3D">
        <w:rPr>
          <w:szCs w:val="24"/>
        </w:rPr>
        <w:t xml:space="preserve">as a result of the latest forecast for the Council's revenue budget. County Fund balance is anticipated to remain at £36m at the end of the financial year. </w:t>
      </w:r>
    </w:p>
    <w:p w:rsidR="0012578C" w:rsidRPr="00AD6B3D" w:rsidRDefault="0012578C" w:rsidP="00ED7BC1">
      <w:pPr>
        <w:pStyle w:val="ListParagraph"/>
        <w:ind w:left="0"/>
        <w:jc w:val="both"/>
        <w:rPr>
          <w:szCs w:val="24"/>
        </w:rPr>
      </w:pPr>
    </w:p>
    <w:p w:rsidR="0012578C" w:rsidRPr="00AD6B3D" w:rsidRDefault="008068FC" w:rsidP="00ED7BC1">
      <w:pPr>
        <w:pStyle w:val="ListParagraph"/>
        <w:ind w:left="0"/>
        <w:jc w:val="both"/>
        <w:rPr>
          <w:szCs w:val="24"/>
        </w:rPr>
      </w:pPr>
      <w:r w:rsidRPr="00AD6B3D">
        <w:rPr>
          <w:szCs w:val="24"/>
        </w:rPr>
        <w:t>The impact of the current monitoring position on the Council's Downsizing reserve is:</w:t>
      </w:r>
    </w:p>
    <w:p w:rsidR="008068FC" w:rsidRDefault="008068FC" w:rsidP="00ED7BC1">
      <w:pPr>
        <w:pStyle w:val="ListParagraph"/>
        <w:ind w:left="0"/>
        <w:jc w:val="both"/>
        <w:rPr>
          <w:sz w:val="28"/>
          <w:szCs w:val="28"/>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12"/>
        <w:gridCol w:w="951"/>
      </w:tblGrid>
      <w:tr w:rsidR="008068FC" w:rsidRPr="0012578C" w:rsidTr="00AD6B3D">
        <w:trPr>
          <w:jc w:val="center"/>
        </w:trPr>
        <w:tc>
          <w:tcPr>
            <w:tcW w:w="0" w:type="auto"/>
            <w:vAlign w:val="center"/>
          </w:tcPr>
          <w:p w:rsidR="008068FC" w:rsidRPr="00AD6B3D" w:rsidRDefault="008068FC" w:rsidP="00AD6B3D">
            <w:pPr>
              <w:pStyle w:val="ListParagraph"/>
              <w:ind w:left="0"/>
              <w:rPr>
                <w:szCs w:val="24"/>
              </w:rPr>
            </w:pPr>
          </w:p>
        </w:tc>
        <w:tc>
          <w:tcPr>
            <w:tcW w:w="0" w:type="auto"/>
          </w:tcPr>
          <w:p w:rsidR="008068FC" w:rsidRPr="00AD6B3D" w:rsidRDefault="008068FC" w:rsidP="008068FC">
            <w:pPr>
              <w:pStyle w:val="ListParagraph"/>
              <w:ind w:left="0"/>
              <w:jc w:val="center"/>
              <w:rPr>
                <w:szCs w:val="24"/>
              </w:rPr>
            </w:pPr>
            <w:r w:rsidRPr="00AD6B3D">
              <w:rPr>
                <w:szCs w:val="24"/>
              </w:rPr>
              <w:t>£m</w:t>
            </w:r>
          </w:p>
        </w:tc>
      </w:tr>
      <w:tr w:rsidR="008068FC" w:rsidRPr="0012578C" w:rsidTr="00AD6B3D">
        <w:trPr>
          <w:jc w:val="center"/>
        </w:trPr>
        <w:tc>
          <w:tcPr>
            <w:tcW w:w="0" w:type="auto"/>
            <w:vAlign w:val="center"/>
          </w:tcPr>
          <w:p w:rsidR="008068FC" w:rsidRPr="00AD6B3D" w:rsidRDefault="008068FC" w:rsidP="00AD6B3D">
            <w:pPr>
              <w:pStyle w:val="ListParagraph"/>
              <w:ind w:left="0"/>
              <w:rPr>
                <w:b/>
                <w:szCs w:val="24"/>
              </w:rPr>
            </w:pPr>
            <w:r w:rsidRPr="00AD6B3D">
              <w:rPr>
                <w:b/>
                <w:szCs w:val="24"/>
              </w:rPr>
              <w:t>Downsizing reserve balance at 1.4.13</w:t>
            </w:r>
          </w:p>
        </w:tc>
        <w:tc>
          <w:tcPr>
            <w:tcW w:w="0" w:type="auto"/>
            <w:vAlign w:val="center"/>
          </w:tcPr>
          <w:p w:rsidR="008068FC" w:rsidRPr="00AD6B3D" w:rsidRDefault="00E90994" w:rsidP="00AD6B3D">
            <w:pPr>
              <w:pStyle w:val="ListParagraph"/>
              <w:ind w:left="0"/>
              <w:jc w:val="right"/>
              <w:rPr>
                <w:b/>
                <w:szCs w:val="24"/>
              </w:rPr>
            </w:pPr>
            <w:r w:rsidRPr="00AD6B3D">
              <w:rPr>
                <w:b/>
                <w:szCs w:val="24"/>
              </w:rPr>
              <w:t>37.695</w:t>
            </w:r>
          </w:p>
        </w:tc>
      </w:tr>
      <w:tr w:rsidR="008068FC" w:rsidRPr="0012578C" w:rsidTr="00AD6B3D">
        <w:trPr>
          <w:jc w:val="center"/>
        </w:trPr>
        <w:tc>
          <w:tcPr>
            <w:tcW w:w="0" w:type="auto"/>
            <w:vAlign w:val="center"/>
          </w:tcPr>
          <w:p w:rsidR="008068FC" w:rsidRPr="00AD6B3D" w:rsidRDefault="008068FC" w:rsidP="00AD6B3D">
            <w:pPr>
              <w:pStyle w:val="ListParagraph"/>
              <w:ind w:left="0"/>
              <w:rPr>
                <w:szCs w:val="24"/>
              </w:rPr>
            </w:pPr>
            <w:r w:rsidRPr="00AD6B3D">
              <w:rPr>
                <w:szCs w:val="24"/>
              </w:rPr>
              <w:t>Transfer in from other reserves</w:t>
            </w:r>
          </w:p>
        </w:tc>
        <w:tc>
          <w:tcPr>
            <w:tcW w:w="0" w:type="auto"/>
            <w:vAlign w:val="center"/>
          </w:tcPr>
          <w:p w:rsidR="008068FC" w:rsidRPr="00AD6B3D" w:rsidRDefault="008068FC" w:rsidP="00AD6B3D">
            <w:pPr>
              <w:pStyle w:val="ListParagraph"/>
              <w:ind w:left="0"/>
              <w:jc w:val="right"/>
              <w:rPr>
                <w:szCs w:val="24"/>
              </w:rPr>
            </w:pPr>
            <w:r w:rsidRPr="00AD6B3D">
              <w:rPr>
                <w:szCs w:val="24"/>
              </w:rPr>
              <w:t>5.677</w:t>
            </w:r>
          </w:p>
        </w:tc>
      </w:tr>
      <w:tr w:rsidR="008068FC" w:rsidTr="00AD6B3D">
        <w:trPr>
          <w:jc w:val="center"/>
        </w:trPr>
        <w:tc>
          <w:tcPr>
            <w:tcW w:w="0" w:type="auto"/>
            <w:vAlign w:val="center"/>
          </w:tcPr>
          <w:p w:rsidR="008068FC" w:rsidRPr="00AD6B3D" w:rsidRDefault="008068FC" w:rsidP="00AD6B3D">
            <w:pPr>
              <w:pStyle w:val="ListParagraph"/>
              <w:ind w:left="0"/>
              <w:rPr>
                <w:szCs w:val="24"/>
              </w:rPr>
            </w:pPr>
            <w:r w:rsidRPr="00AD6B3D">
              <w:rPr>
                <w:szCs w:val="24"/>
              </w:rPr>
              <w:t>Transfer of one off additional funding fro</w:t>
            </w:r>
            <w:r w:rsidR="00FD285B" w:rsidRPr="00AD6B3D">
              <w:rPr>
                <w:szCs w:val="24"/>
              </w:rPr>
              <w:t>m government</w:t>
            </w:r>
          </w:p>
        </w:tc>
        <w:tc>
          <w:tcPr>
            <w:tcW w:w="0" w:type="auto"/>
            <w:vAlign w:val="center"/>
          </w:tcPr>
          <w:p w:rsidR="008068FC" w:rsidRPr="00AD6B3D" w:rsidRDefault="00FD285B" w:rsidP="00AD6B3D">
            <w:pPr>
              <w:pStyle w:val="ListParagraph"/>
              <w:ind w:left="0"/>
              <w:jc w:val="right"/>
              <w:rPr>
                <w:szCs w:val="24"/>
              </w:rPr>
            </w:pPr>
            <w:r w:rsidRPr="00AD6B3D">
              <w:rPr>
                <w:szCs w:val="24"/>
              </w:rPr>
              <w:t>2.691</w:t>
            </w:r>
          </w:p>
        </w:tc>
      </w:tr>
      <w:tr w:rsidR="00FD285B" w:rsidTr="00AD6B3D">
        <w:trPr>
          <w:jc w:val="center"/>
        </w:trPr>
        <w:tc>
          <w:tcPr>
            <w:tcW w:w="0" w:type="auto"/>
            <w:vAlign w:val="center"/>
          </w:tcPr>
          <w:p w:rsidR="00FD285B" w:rsidRPr="00AD6B3D" w:rsidRDefault="00FD285B" w:rsidP="00AD6B3D">
            <w:pPr>
              <w:pStyle w:val="ListParagraph"/>
              <w:ind w:left="0"/>
              <w:rPr>
                <w:szCs w:val="24"/>
              </w:rPr>
            </w:pPr>
            <w:r w:rsidRPr="00AD6B3D">
              <w:rPr>
                <w:szCs w:val="24"/>
              </w:rPr>
              <w:t>Release from the balance sheet of resources</w:t>
            </w:r>
          </w:p>
        </w:tc>
        <w:tc>
          <w:tcPr>
            <w:tcW w:w="0" w:type="auto"/>
            <w:vAlign w:val="center"/>
          </w:tcPr>
          <w:p w:rsidR="00FD285B" w:rsidRPr="00AD6B3D" w:rsidRDefault="00FD285B" w:rsidP="00AD6B3D">
            <w:pPr>
              <w:pStyle w:val="ListParagraph"/>
              <w:ind w:left="0"/>
              <w:jc w:val="right"/>
              <w:rPr>
                <w:szCs w:val="24"/>
              </w:rPr>
            </w:pPr>
            <w:r w:rsidRPr="00AD6B3D">
              <w:rPr>
                <w:szCs w:val="24"/>
              </w:rPr>
              <w:t>1.800</w:t>
            </w:r>
          </w:p>
        </w:tc>
      </w:tr>
      <w:tr w:rsidR="008068FC" w:rsidTr="00AD6B3D">
        <w:trPr>
          <w:jc w:val="center"/>
        </w:trPr>
        <w:tc>
          <w:tcPr>
            <w:tcW w:w="0" w:type="auto"/>
            <w:vAlign w:val="center"/>
          </w:tcPr>
          <w:p w:rsidR="008068FC" w:rsidRPr="00AD6B3D" w:rsidRDefault="008068FC" w:rsidP="00AD6B3D">
            <w:pPr>
              <w:pStyle w:val="ListParagraph"/>
              <w:ind w:left="0"/>
              <w:rPr>
                <w:szCs w:val="24"/>
              </w:rPr>
            </w:pPr>
            <w:r w:rsidRPr="00AD6B3D">
              <w:rPr>
                <w:b/>
                <w:szCs w:val="24"/>
              </w:rPr>
              <w:t>Forecast Downsizing reserve balance at 31.3.14</w:t>
            </w:r>
          </w:p>
        </w:tc>
        <w:tc>
          <w:tcPr>
            <w:tcW w:w="0" w:type="auto"/>
            <w:vAlign w:val="center"/>
          </w:tcPr>
          <w:p w:rsidR="008068FC" w:rsidRPr="00AD6B3D" w:rsidRDefault="00E8122E" w:rsidP="00AD6B3D">
            <w:pPr>
              <w:pStyle w:val="ListParagraph"/>
              <w:spacing w:line="276" w:lineRule="auto"/>
              <w:ind w:left="0"/>
              <w:jc w:val="right"/>
              <w:rPr>
                <w:b/>
                <w:szCs w:val="24"/>
              </w:rPr>
            </w:pPr>
            <w:r w:rsidRPr="00AD6B3D">
              <w:rPr>
                <w:b/>
                <w:szCs w:val="24"/>
              </w:rPr>
              <w:t>4</w:t>
            </w:r>
            <w:r w:rsidR="00FD285B" w:rsidRPr="00AD6B3D">
              <w:rPr>
                <w:b/>
                <w:szCs w:val="24"/>
              </w:rPr>
              <w:t>7.863</w:t>
            </w:r>
          </w:p>
        </w:tc>
      </w:tr>
      <w:tr w:rsidR="008068FC" w:rsidTr="00AD6B3D">
        <w:trPr>
          <w:jc w:val="center"/>
        </w:trPr>
        <w:tc>
          <w:tcPr>
            <w:tcW w:w="0" w:type="auto"/>
            <w:vAlign w:val="center"/>
          </w:tcPr>
          <w:p w:rsidR="008068FC" w:rsidRPr="00AD6B3D" w:rsidRDefault="008068FC" w:rsidP="00AD6B3D">
            <w:pPr>
              <w:pStyle w:val="ListParagraph"/>
              <w:ind w:left="0"/>
              <w:rPr>
                <w:szCs w:val="24"/>
              </w:rPr>
            </w:pPr>
          </w:p>
        </w:tc>
        <w:tc>
          <w:tcPr>
            <w:tcW w:w="0" w:type="auto"/>
            <w:vAlign w:val="center"/>
          </w:tcPr>
          <w:p w:rsidR="008068FC" w:rsidRPr="00AD6B3D" w:rsidRDefault="008068FC" w:rsidP="00AD6B3D">
            <w:pPr>
              <w:pStyle w:val="ListParagraph"/>
              <w:ind w:left="0"/>
              <w:jc w:val="right"/>
              <w:rPr>
                <w:szCs w:val="24"/>
              </w:rPr>
            </w:pPr>
          </w:p>
        </w:tc>
      </w:tr>
      <w:tr w:rsidR="008068FC" w:rsidRPr="006A6C12" w:rsidTr="00AD6B3D">
        <w:trPr>
          <w:jc w:val="center"/>
        </w:trPr>
        <w:tc>
          <w:tcPr>
            <w:tcW w:w="0" w:type="auto"/>
            <w:vAlign w:val="center"/>
          </w:tcPr>
          <w:p w:rsidR="008068FC" w:rsidRPr="006A6C12" w:rsidRDefault="008068FC" w:rsidP="00AD6B3D">
            <w:pPr>
              <w:pStyle w:val="ListParagraph"/>
              <w:ind w:left="0"/>
              <w:rPr>
                <w:i/>
                <w:szCs w:val="24"/>
              </w:rPr>
            </w:pPr>
            <w:r w:rsidRPr="006A6C12">
              <w:rPr>
                <w:i/>
                <w:szCs w:val="24"/>
              </w:rPr>
              <w:t>Forecast movements in 2014/15</w:t>
            </w:r>
            <w:r w:rsidR="00E90994" w:rsidRPr="006A6C12">
              <w:rPr>
                <w:i/>
                <w:szCs w:val="24"/>
              </w:rPr>
              <w:t>:</w:t>
            </w:r>
          </w:p>
        </w:tc>
        <w:tc>
          <w:tcPr>
            <w:tcW w:w="0" w:type="auto"/>
            <w:vAlign w:val="center"/>
          </w:tcPr>
          <w:p w:rsidR="008068FC" w:rsidRPr="006A6C12" w:rsidRDefault="008068FC" w:rsidP="00AD6B3D">
            <w:pPr>
              <w:pStyle w:val="ListParagraph"/>
              <w:ind w:left="0"/>
              <w:jc w:val="right"/>
              <w:rPr>
                <w:i/>
                <w:szCs w:val="24"/>
              </w:rPr>
            </w:pPr>
          </w:p>
        </w:tc>
      </w:tr>
      <w:tr w:rsidR="008068FC" w:rsidTr="00AD6B3D">
        <w:trPr>
          <w:jc w:val="center"/>
        </w:trPr>
        <w:tc>
          <w:tcPr>
            <w:tcW w:w="0" w:type="auto"/>
            <w:vAlign w:val="center"/>
          </w:tcPr>
          <w:p w:rsidR="008068FC" w:rsidRPr="00AD6B3D" w:rsidRDefault="008068FC" w:rsidP="00AD6B3D">
            <w:pPr>
              <w:pStyle w:val="ListParagraph"/>
              <w:ind w:left="0"/>
              <w:rPr>
                <w:szCs w:val="24"/>
              </w:rPr>
            </w:pPr>
            <w:r w:rsidRPr="00AD6B3D">
              <w:rPr>
                <w:szCs w:val="24"/>
              </w:rPr>
              <w:t>Anticipated one-off resource from Council Tax Surplus</w:t>
            </w:r>
          </w:p>
        </w:tc>
        <w:tc>
          <w:tcPr>
            <w:tcW w:w="0" w:type="auto"/>
            <w:vAlign w:val="center"/>
          </w:tcPr>
          <w:p w:rsidR="008068FC" w:rsidRPr="00AD6B3D" w:rsidRDefault="00E90994" w:rsidP="00AD6B3D">
            <w:pPr>
              <w:pStyle w:val="ListParagraph"/>
              <w:ind w:left="0"/>
              <w:jc w:val="right"/>
              <w:rPr>
                <w:szCs w:val="24"/>
              </w:rPr>
            </w:pPr>
            <w:r w:rsidRPr="00AD6B3D">
              <w:rPr>
                <w:szCs w:val="24"/>
              </w:rPr>
              <w:t>4.360</w:t>
            </w:r>
          </w:p>
        </w:tc>
      </w:tr>
      <w:tr w:rsidR="008068FC" w:rsidTr="00AD6B3D">
        <w:trPr>
          <w:jc w:val="center"/>
        </w:trPr>
        <w:tc>
          <w:tcPr>
            <w:tcW w:w="0" w:type="auto"/>
            <w:vAlign w:val="center"/>
          </w:tcPr>
          <w:p w:rsidR="008068FC" w:rsidRPr="00AD6B3D" w:rsidRDefault="008068FC" w:rsidP="00AD6B3D">
            <w:pPr>
              <w:pStyle w:val="ListParagraph"/>
              <w:ind w:left="0"/>
              <w:rPr>
                <w:szCs w:val="24"/>
              </w:rPr>
            </w:pPr>
            <w:r w:rsidRPr="00AD6B3D">
              <w:rPr>
                <w:szCs w:val="24"/>
              </w:rPr>
              <w:t>Release from Revenue contributions to Capital</w:t>
            </w:r>
          </w:p>
        </w:tc>
        <w:tc>
          <w:tcPr>
            <w:tcW w:w="0" w:type="auto"/>
            <w:vAlign w:val="center"/>
          </w:tcPr>
          <w:p w:rsidR="008068FC" w:rsidRPr="00AD6B3D" w:rsidRDefault="008068FC" w:rsidP="00AD6B3D">
            <w:pPr>
              <w:pStyle w:val="ListParagraph"/>
              <w:ind w:left="0"/>
              <w:jc w:val="right"/>
              <w:rPr>
                <w:szCs w:val="24"/>
              </w:rPr>
            </w:pPr>
            <w:r w:rsidRPr="00AD6B3D">
              <w:rPr>
                <w:szCs w:val="24"/>
              </w:rPr>
              <w:t>38.5</w:t>
            </w:r>
            <w:r w:rsidR="00E90994" w:rsidRPr="00AD6B3D">
              <w:rPr>
                <w:szCs w:val="24"/>
              </w:rPr>
              <w:t>00</w:t>
            </w:r>
          </w:p>
        </w:tc>
      </w:tr>
      <w:tr w:rsidR="008068FC" w:rsidTr="00AD6B3D">
        <w:trPr>
          <w:jc w:val="center"/>
        </w:trPr>
        <w:tc>
          <w:tcPr>
            <w:tcW w:w="0" w:type="auto"/>
            <w:vAlign w:val="center"/>
          </w:tcPr>
          <w:p w:rsidR="008068FC" w:rsidRPr="00AD6B3D" w:rsidRDefault="008068FC" w:rsidP="00AD6B3D">
            <w:pPr>
              <w:pStyle w:val="ListParagraph"/>
              <w:ind w:left="0"/>
              <w:rPr>
                <w:szCs w:val="24"/>
              </w:rPr>
            </w:pPr>
            <w:r w:rsidRPr="00AD6B3D">
              <w:rPr>
                <w:szCs w:val="24"/>
              </w:rPr>
              <w:t>Invest to save commitments from the Council's savings strategy</w:t>
            </w:r>
          </w:p>
        </w:tc>
        <w:tc>
          <w:tcPr>
            <w:tcW w:w="0" w:type="auto"/>
            <w:vAlign w:val="center"/>
          </w:tcPr>
          <w:p w:rsidR="008068FC" w:rsidRPr="00AD6B3D" w:rsidRDefault="00E90994" w:rsidP="00AD6B3D">
            <w:pPr>
              <w:pStyle w:val="ListParagraph"/>
              <w:ind w:left="0"/>
              <w:jc w:val="right"/>
              <w:rPr>
                <w:szCs w:val="24"/>
              </w:rPr>
            </w:pPr>
            <w:r w:rsidRPr="00AD6B3D">
              <w:rPr>
                <w:szCs w:val="24"/>
              </w:rPr>
              <w:t>-9.600</w:t>
            </w:r>
          </w:p>
        </w:tc>
      </w:tr>
      <w:tr w:rsidR="00E15400" w:rsidTr="00AD6B3D">
        <w:trPr>
          <w:jc w:val="center"/>
        </w:trPr>
        <w:tc>
          <w:tcPr>
            <w:tcW w:w="0" w:type="auto"/>
            <w:vAlign w:val="center"/>
          </w:tcPr>
          <w:p w:rsidR="00E15400" w:rsidRPr="00AD6B3D" w:rsidRDefault="00E15400" w:rsidP="00AD6B3D">
            <w:pPr>
              <w:pStyle w:val="ListParagraph"/>
              <w:ind w:left="0"/>
              <w:rPr>
                <w:szCs w:val="24"/>
              </w:rPr>
            </w:pPr>
            <w:r>
              <w:rPr>
                <w:szCs w:val="24"/>
              </w:rPr>
              <w:t>Returned New Homes bonus top slice</w:t>
            </w:r>
          </w:p>
        </w:tc>
        <w:tc>
          <w:tcPr>
            <w:tcW w:w="0" w:type="auto"/>
            <w:vAlign w:val="center"/>
          </w:tcPr>
          <w:p w:rsidR="00E15400" w:rsidRPr="00AD6B3D" w:rsidRDefault="00E15400" w:rsidP="00AD6B3D">
            <w:pPr>
              <w:pStyle w:val="ListParagraph"/>
              <w:ind w:left="0"/>
              <w:jc w:val="right"/>
              <w:rPr>
                <w:szCs w:val="24"/>
              </w:rPr>
            </w:pPr>
            <w:r>
              <w:rPr>
                <w:szCs w:val="24"/>
              </w:rPr>
              <w:t>0.224</w:t>
            </w:r>
          </w:p>
        </w:tc>
      </w:tr>
      <w:tr w:rsidR="008068FC" w:rsidTr="00AD6B3D">
        <w:trPr>
          <w:jc w:val="center"/>
        </w:trPr>
        <w:tc>
          <w:tcPr>
            <w:tcW w:w="0" w:type="auto"/>
            <w:vAlign w:val="center"/>
          </w:tcPr>
          <w:p w:rsidR="008068FC" w:rsidRPr="00AD6B3D" w:rsidRDefault="00E8122E" w:rsidP="00AD6B3D">
            <w:pPr>
              <w:pStyle w:val="ListParagraph"/>
              <w:spacing w:after="200" w:line="276" w:lineRule="auto"/>
              <w:ind w:left="0"/>
              <w:rPr>
                <w:b/>
                <w:szCs w:val="24"/>
              </w:rPr>
            </w:pPr>
            <w:r w:rsidRPr="00AD6B3D">
              <w:rPr>
                <w:b/>
                <w:szCs w:val="24"/>
              </w:rPr>
              <w:t>Balance available for funding Voluntary Severance in future years</w:t>
            </w:r>
          </w:p>
        </w:tc>
        <w:tc>
          <w:tcPr>
            <w:tcW w:w="0" w:type="auto"/>
            <w:vAlign w:val="center"/>
          </w:tcPr>
          <w:p w:rsidR="008068FC" w:rsidRPr="00AD6B3D" w:rsidRDefault="00FD285B" w:rsidP="00AD6B3D">
            <w:pPr>
              <w:pStyle w:val="ListParagraph"/>
              <w:spacing w:line="276" w:lineRule="auto"/>
              <w:ind w:left="0"/>
              <w:jc w:val="right"/>
              <w:rPr>
                <w:b/>
                <w:szCs w:val="24"/>
              </w:rPr>
            </w:pPr>
            <w:r w:rsidRPr="00AD6B3D">
              <w:rPr>
                <w:b/>
                <w:szCs w:val="24"/>
              </w:rPr>
              <w:t>81.</w:t>
            </w:r>
            <w:r w:rsidR="00E15400">
              <w:rPr>
                <w:b/>
                <w:szCs w:val="24"/>
              </w:rPr>
              <w:t>347</w:t>
            </w:r>
          </w:p>
        </w:tc>
      </w:tr>
    </w:tbl>
    <w:p w:rsidR="0012578C" w:rsidRPr="00ED7BC1" w:rsidRDefault="0012578C" w:rsidP="00ED7BC1">
      <w:pPr>
        <w:pStyle w:val="ListParagraph"/>
        <w:ind w:left="0"/>
        <w:jc w:val="both"/>
        <w:rPr>
          <w:sz w:val="28"/>
          <w:szCs w:val="28"/>
        </w:rPr>
      </w:pPr>
    </w:p>
    <w:p w:rsidR="00ED7BC1" w:rsidRPr="00ED7BC1" w:rsidRDefault="00ED7BC1" w:rsidP="00ED7BC1">
      <w:pPr>
        <w:pStyle w:val="ListParagraph"/>
        <w:numPr>
          <w:ilvl w:val="0"/>
          <w:numId w:val="32"/>
        </w:numPr>
        <w:ind w:left="0" w:hanging="567"/>
        <w:jc w:val="both"/>
        <w:rPr>
          <w:sz w:val="28"/>
          <w:szCs w:val="28"/>
        </w:rPr>
      </w:pPr>
      <w:r w:rsidRPr="00CC341E">
        <w:rPr>
          <w:b/>
          <w:sz w:val="28"/>
          <w:szCs w:val="28"/>
        </w:rPr>
        <w:t>Section D – Conclusion</w:t>
      </w:r>
    </w:p>
    <w:p w:rsidR="00F47154" w:rsidRPr="00CC341E" w:rsidRDefault="00B55FCB" w:rsidP="009B3D43">
      <w:pPr>
        <w:jc w:val="both"/>
      </w:pPr>
      <w:r w:rsidRPr="00CC341E">
        <w:t xml:space="preserve">A number of significant </w:t>
      </w:r>
      <w:r w:rsidR="00A64C3B" w:rsidRPr="00CC341E">
        <w:t>revenue spending pressures</w:t>
      </w:r>
      <w:r w:rsidR="005E1202" w:rsidRPr="00CC341E">
        <w:t xml:space="preserve"> have</w:t>
      </w:r>
      <w:r w:rsidR="00A64C3B" w:rsidRPr="00CC341E">
        <w:t xml:space="preserve"> emerg</w:t>
      </w:r>
      <w:r w:rsidR="005E1202" w:rsidRPr="00CC341E">
        <w:t>ed</w:t>
      </w:r>
      <w:r w:rsidR="00A64C3B" w:rsidRPr="00CC341E">
        <w:t xml:space="preserve"> in the current year</w:t>
      </w:r>
      <w:r w:rsidR="009E7E4B">
        <w:t xml:space="preserve"> and the Council's management team have taken action that has reduced this pressure considerably during the year. </w:t>
      </w:r>
      <w:r w:rsidR="00475087">
        <w:t>Based on previous experience, it is likely that a number of smaller underspends will emerge over the final quarter of the financial year, and that the final position on the revenue budget is likely to be better than current forecast.</w:t>
      </w:r>
    </w:p>
    <w:p w:rsidR="00A64C3B" w:rsidRDefault="009E7E4B" w:rsidP="009B3D43">
      <w:pPr>
        <w:jc w:val="both"/>
        <w:rPr>
          <w:szCs w:val="24"/>
        </w:rPr>
      </w:pPr>
      <w:r>
        <w:t xml:space="preserve">The pressures and underspends identified in this monitoring report have also been reflected in </w:t>
      </w:r>
      <w:r w:rsidR="00E95442">
        <w:t>the Council's budget proposals</w:t>
      </w:r>
      <w:r>
        <w:t xml:space="preserve"> </w:t>
      </w:r>
      <w:r w:rsidR="00E95442">
        <w:t xml:space="preserve">for </w:t>
      </w:r>
      <w:r>
        <w:t xml:space="preserve"> 2014/15</w:t>
      </w:r>
      <w:r w:rsidR="00F47154" w:rsidRPr="00CC341E">
        <w:t>.</w:t>
      </w:r>
    </w:p>
    <w:sectPr w:rsidR="00A64C3B" w:rsidSect="00C50BD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4B3A" w:rsidRPr="00117F45" w:rsidRDefault="00E94B3A" w:rsidP="00117F45">
      <w:pPr>
        <w:spacing w:after="0" w:line="240" w:lineRule="auto"/>
      </w:pPr>
      <w:r>
        <w:separator/>
      </w:r>
    </w:p>
  </w:endnote>
  <w:endnote w:type="continuationSeparator" w:id="0">
    <w:p w:rsidR="00E94B3A" w:rsidRPr="00117F45" w:rsidRDefault="00E94B3A" w:rsidP="00117F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T7DA53o00">
    <w:panose1 w:val="00000000000000000000"/>
    <w:charset w:val="00"/>
    <w:family w:val="auto"/>
    <w:notTrueType/>
    <w:pitch w:val="default"/>
    <w:sig w:usb0="00000003" w:usb1="00000000" w:usb2="00000000" w:usb3="00000000" w:csb0="00000001" w:csb1="00000000"/>
  </w:font>
  <w:font w:name="TT7DA6Co00">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4B3A" w:rsidRPr="00117F45" w:rsidRDefault="00E94B3A" w:rsidP="00117F45">
      <w:pPr>
        <w:spacing w:after="0" w:line="240" w:lineRule="auto"/>
      </w:pPr>
      <w:r>
        <w:separator/>
      </w:r>
    </w:p>
  </w:footnote>
  <w:footnote w:type="continuationSeparator" w:id="0">
    <w:p w:rsidR="00E94B3A" w:rsidRPr="00117F45" w:rsidRDefault="00E94B3A" w:rsidP="00117F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D6F6A"/>
    <w:multiLevelType w:val="hybridMultilevel"/>
    <w:tmpl w:val="0DE69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DC1A03"/>
    <w:multiLevelType w:val="hybridMultilevel"/>
    <w:tmpl w:val="431E6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AB72D7"/>
    <w:multiLevelType w:val="hybridMultilevel"/>
    <w:tmpl w:val="07328A76"/>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8085C20"/>
    <w:multiLevelType w:val="hybridMultilevel"/>
    <w:tmpl w:val="AEF0AB62"/>
    <w:lvl w:ilvl="0" w:tplc="08090001">
      <w:start w:val="1"/>
      <w:numFmt w:val="bullet"/>
      <w:lvlText w:val=""/>
      <w:lvlJc w:val="left"/>
      <w:pPr>
        <w:ind w:left="360" w:hanging="360"/>
      </w:pPr>
      <w:rPr>
        <w:rFonts w:ascii="Symbol" w:hAnsi="Symbol" w:hint="default"/>
      </w:rPr>
    </w:lvl>
    <w:lvl w:ilvl="1" w:tplc="5CC43C88">
      <w:numFmt w:val="bullet"/>
      <w:lvlText w:val="•"/>
      <w:lvlJc w:val="left"/>
      <w:pPr>
        <w:ind w:left="1080" w:hanging="360"/>
      </w:pPr>
      <w:rPr>
        <w:rFonts w:ascii="Arial" w:eastAsiaTheme="minorHAnsi"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8E97E25"/>
    <w:multiLevelType w:val="hybridMultilevel"/>
    <w:tmpl w:val="95A67F7C"/>
    <w:lvl w:ilvl="0" w:tplc="08090001">
      <w:start w:val="1"/>
      <w:numFmt w:val="bullet"/>
      <w:lvlText w:val=""/>
      <w:lvlJc w:val="left"/>
      <w:pPr>
        <w:ind w:left="405" w:hanging="360"/>
      </w:pPr>
      <w:rPr>
        <w:rFonts w:ascii="Symbol" w:hAnsi="Symbol"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5">
    <w:nsid w:val="0F7832D4"/>
    <w:multiLevelType w:val="hybridMultilevel"/>
    <w:tmpl w:val="74AC6F06"/>
    <w:lvl w:ilvl="0" w:tplc="50B6AF5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01768C2"/>
    <w:multiLevelType w:val="hybridMultilevel"/>
    <w:tmpl w:val="33967044"/>
    <w:lvl w:ilvl="0" w:tplc="50B6AF5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1214BA8"/>
    <w:multiLevelType w:val="hybridMultilevel"/>
    <w:tmpl w:val="7D8CD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73C7E96"/>
    <w:multiLevelType w:val="hybridMultilevel"/>
    <w:tmpl w:val="193A1A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C3B4533"/>
    <w:multiLevelType w:val="hybridMultilevel"/>
    <w:tmpl w:val="7880414C"/>
    <w:lvl w:ilvl="0" w:tplc="08090001">
      <w:start w:val="7"/>
      <w:numFmt w:val="bullet"/>
      <w:lvlText w:val="-"/>
      <w:lvlJc w:val="left"/>
      <w:pPr>
        <w:ind w:left="405" w:hanging="360"/>
      </w:pPr>
      <w:rPr>
        <w:rFonts w:ascii="Arial" w:eastAsiaTheme="minorHAnsi" w:hAnsi="Arial" w:cs="Arial" w:hint="default"/>
        <w:b/>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0">
    <w:nsid w:val="24EF233E"/>
    <w:multiLevelType w:val="hybridMultilevel"/>
    <w:tmpl w:val="823EF886"/>
    <w:lvl w:ilvl="0" w:tplc="08090001">
      <w:start w:val="1"/>
      <w:numFmt w:val="bullet"/>
      <w:lvlText w:val=""/>
      <w:lvlJc w:val="left"/>
      <w:pPr>
        <w:ind w:left="360" w:hanging="360"/>
      </w:pPr>
      <w:rPr>
        <w:rFonts w:ascii="Wingdings" w:hAnsi="Wingdings" w:hint="default"/>
      </w:rPr>
    </w:lvl>
    <w:lvl w:ilvl="1" w:tplc="08090003" w:tentative="1">
      <w:start w:val="1"/>
      <w:numFmt w:val="lowerLetter"/>
      <w:lvlText w:val="%2."/>
      <w:lvlJc w:val="left"/>
      <w:pPr>
        <w:ind w:left="1080" w:hanging="360"/>
      </w:pPr>
    </w:lvl>
    <w:lvl w:ilvl="2" w:tplc="08090005" w:tentative="1">
      <w:start w:val="1"/>
      <w:numFmt w:val="lowerRoman"/>
      <w:lvlText w:val="%3."/>
      <w:lvlJc w:val="right"/>
      <w:pPr>
        <w:ind w:left="1800" w:hanging="180"/>
      </w:pPr>
    </w:lvl>
    <w:lvl w:ilvl="3" w:tplc="08090001" w:tentative="1">
      <w:start w:val="1"/>
      <w:numFmt w:val="decimal"/>
      <w:lvlText w:val="%4."/>
      <w:lvlJc w:val="left"/>
      <w:pPr>
        <w:ind w:left="2520" w:hanging="360"/>
      </w:pPr>
    </w:lvl>
    <w:lvl w:ilvl="4" w:tplc="08090003" w:tentative="1">
      <w:start w:val="1"/>
      <w:numFmt w:val="lowerLetter"/>
      <w:lvlText w:val="%5."/>
      <w:lvlJc w:val="left"/>
      <w:pPr>
        <w:ind w:left="3240" w:hanging="360"/>
      </w:pPr>
    </w:lvl>
    <w:lvl w:ilvl="5" w:tplc="08090005" w:tentative="1">
      <w:start w:val="1"/>
      <w:numFmt w:val="lowerRoman"/>
      <w:lvlText w:val="%6."/>
      <w:lvlJc w:val="right"/>
      <w:pPr>
        <w:ind w:left="3960" w:hanging="180"/>
      </w:pPr>
    </w:lvl>
    <w:lvl w:ilvl="6" w:tplc="08090001" w:tentative="1">
      <w:start w:val="1"/>
      <w:numFmt w:val="decimal"/>
      <w:lvlText w:val="%7."/>
      <w:lvlJc w:val="left"/>
      <w:pPr>
        <w:ind w:left="4680" w:hanging="360"/>
      </w:pPr>
    </w:lvl>
    <w:lvl w:ilvl="7" w:tplc="08090003" w:tentative="1">
      <w:start w:val="1"/>
      <w:numFmt w:val="lowerLetter"/>
      <w:lvlText w:val="%8."/>
      <w:lvlJc w:val="left"/>
      <w:pPr>
        <w:ind w:left="5400" w:hanging="360"/>
      </w:pPr>
    </w:lvl>
    <w:lvl w:ilvl="8" w:tplc="08090005" w:tentative="1">
      <w:start w:val="1"/>
      <w:numFmt w:val="lowerRoman"/>
      <w:lvlText w:val="%9."/>
      <w:lvlJc w:val="right"/>
      <w:pPr>
        <w:ind w:left="6120" w:hanging="180"/>
      </w:pPr>
    </w:lvl>
  </w:abstractNum>
  <w:abstractNum w:abstractNumId="11">
    <w:nsid w:val="260B37CB"/>
    <w:multiLevelType w:val="hybridMultilevel"/>
    <w:tmpl w:val="62D62DA6"/>
    <w:lvl w:ilvl="0" w:tplc="E8FE1D1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8DB01E2"/>
    <w:multiLevelType w:val="hybridMultilevel"/>
    <w:tmpl w:val="D5A6D990"/>
    <w:lvl w:ilvl="0" w:tplc="0809000B">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2B2154E6"/>
    <w:multiLevelType w:val="hybridMultilevel"/>
    <w:tmpl w:val="80C46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C742685"/>
    <w:multiLevelType w:val="hybridMultilevel"/>
    <w:tmpl w:val="C75EE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CB137B7"/>
    <w:multiLevelType w:val="hybridMultilevel"/>
    <w:tmpl w:val="38207454"/>
    <w:lvl w:ilvl="0" w:tplc="0809000F">
      <w:start w:val="1"/>
      <w:numFmt w:val="bullet"/>
      <w:lvlText w:val="-"/>
      <w:lvlJc w:val="left"/>
      <w:pPr>
        <w:ind w:left="720" w:hanging="360"/>
      </w:pPr>
      <w:rPr>
        <w:rFonts w:ascii="Courier New" w:hAnsi="Courier New" w:hint="default"/>
      </w:rPr>
    </w:lvl>
    <w:lvl w:ilvl="1" w:tplc="08090019">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16">
    <w:nsid w:val="311B0365"/>
    <w:multiLevelType w:val="hybridMultilevel"/>
    <w:tmpl w:val="C96E32A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329075DE"/>
    <w:multiLevelType w:val="hybridMultilevel"/>
    <w:tmpl w:val="1C6E2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5EC63C3"/>
    <w:multiLevelType w:val="hybridMultilevel"/>
    <w:tmpl w:val="1DDA9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8666C83"/>
    <w:multiLevelType w:val="hybridMultilevel"/>
    <w:tmpl w:val="75BAF498"/>
    <w:lvl w:ilvl="0" w:tplc="47CCD47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F2A76BF"/>
    <w:multiLevelType w:val="hybridMultilevel"/>
    <w:tmpl w:val="7D300996"/>
    <w:lvl w:ilvl="0" w:tplc="08090001">
      <w:start w:val="1"/>
      <w:numFmt w:val="decimal"/>
      <w:lvlText w:val="%1."/>
      <w:lvlJc w:val="left"/>
      <w:pPr>
        <w:ind w:left="360" w:hanging="360"/>
      </w:pPr>
    </w:lvl>
    <w:lvl w:ilvl="1" w:tplc="08090003" w:tentative="1">
      <w:start w:val="1"/>
      <w:numFmt w:val="lowerLetter"/>
      <w:lvlText w:val="%2."/>
      <w:lvlJc w:val="left"/>
      <w:pPr>
        <w:ind w:left="1080" w:hanging="360"/>
      </w:pPr>
    </w:lvl>
    <w:lvl w:ilvl="2" w:tplc="08090005" w:tentative="1">
      <w:start w:val="1"/>
      <w:numFmt w:val="lowerRoman"/>
      <w:lvlText w:val="%3."/>
      <w:lvlJc w:val="right"/>
      <w:pPr>
        <w:ind w:left="1800" w:hanging="180"/>
      </w:pPr>
    </w:lvl>
    <w:lvl w:ilvl="3" w:tplc="08090001" w:tentative="1">
      <w:start w:val="1"/>
      <w:numFmt w:val="decimal"/>
      <w:lvlText w:val="%4."/>
      <w:lvlJc w:val="left"/>
      <w:pPr>
        <w:ind w:left="2520" w:hanging="360"/>
      </w:pPr>
    </w:lvl>
    <w:lvl w:ilvl="4" w:tplc="08090003" w:tentative="1">
      <w:start w:val="1"/>
      <w:numFmt w:val="lowerLetter"/>
      <w:lvlText w:val="%5."/>
      <w:lvlJc w:val="left"/>
      <w:pPr>
        <w:ind w:left="3240" w:hanging="360"/>
      </w:pPr>
    </w:lvl>
    <w:lvl w:ilvl="5" w:tplc="08090005" w:tentative="1">
      <w:start w:val="1"/>
      <w:numFmt w:val="lowerRoman"/>
      <w:lvlText w:val="%6."/>
      <w:lvlJc w:val="right"/>
      <w:pPr>
        <w:ind w:left="3960" w:hanging="180"/>
      </w:pPr>
    </w:lvl>
    <w:lvl w:ilvl="6" w:tplc="08090001" w:tentative="1">
      <w:start w:val="1"/>
      <w:numFmt w:val="decimal"/>
      <w:lvlText w:val="%7."/>
      <w:lvlJc w:val="left"/>
      <w:pPr>
        <w:ind w:left="4680" w:hanging="360"/>
      </w:pPr>
    </w:lvl>
    <w:lvl w:ilvl="7" w:tplc="08090003" w:tentative="1">
      <w:start w:val="1"/>
      <w:numFmt w:val="lowerLetter"/>
      <w:lvlText w:val="%8."/>
      <w:lvlJc w:val="left"/>
      <w:pPr>
        <w:ind w:left="5400" w:hanging="360"/>
      </w:pPr>
    </w:lvl>
    <w:lvl w:ilvl="8" w:tplc="08090005" w:tentative="1">
      <w:start w:val="1"/>
      <w:numFmt w:val="lowerRoman"/>
      <w:lvlText w:val="%9."/>
      <w:lvlJc w:val="right"/>
      <w:pPr>
        <w:ind w:left="6120" w:hanging="180"/>
      </w:pPr>
    </w:lvl>
  </w:abstractNum>
  <w:abstractNum w:abstractNumId="21">
    <w:nsid w:val="430021BA"/>
    <w:multiLevelType w:val="hybridMultilevel"/>
    <w:tmpl w:val="FE98B7A6"/>
    <w:lvl w:ilvl="0" w:tplc="08090001">
      <w:start w:val="1"/>
      <w:numFmt w:val="bullet"/>
      <w:lvlText w:val="-"/>
      <w:lvlJc w:val="left"/>
      <w:pPr>
        <w:ind w:left="405" w:hanging="360"/>
      </w:pPr>
      <w:rPr>
        <w:rFonts w:ascii="Arial" w:eastAsiaTheme="minorHAnsi" w:hAnsi="Arial" w:cs="Arial"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22">
    <w:nsid w:val="4EF71C23"/>
    <w:multiLevelType w:val="hybridMultilevel"/>
    <w:tmpl w:val="62326DEE"/>
    <w:lvl w:ilvl="0" w:tplc="3DC28712">
      <w:start w:val="3"/>
      <w:numFmt w:val="bullet"/>
      <w:lvlText w:val="-"/>
      <w:lvlJc w:val="left"/>
      <w:pPr>
        <w:ind w:left="450" w:hanging="360"/>
      </w:pPr>
      <w:rPr>
        <w:rFonts w:ascii="Arial" w:eastAsia="Times New Roman" w:hAnsi="Arial" w:cs="Arial" w:hint="default"/>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abstractNum w:abstractNumId="23">
    <w:nsid w:val="4F553E59"/>
    <w:multiLevelType w:val="hybridMultilevel"/>
    <w:tmpl w:val="51661B8A"/>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24">
    <w:nsid w:val="51B43A8A"/>
    <w:multiLevelType w:val="hybridMultilevel"/>
    <w:tmpl w:val="DFC08992"/>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52BA6310"/>
    <w:multiLevelType w:val="hybridMultilevel"/>
    <w:tmpl w:val="74FA1768"/>
    <w:lvl w:ilvl="0" w:tplc="EA30F96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53E533C6"/>
    <w:multiLevelType w:val="hybridMultilevel"/>
    <w:tmpl w:val="ADCCD80E"/>
    <w:lvl w:ilvl="0" w:tplc="08090001">
      <w:start w:val="1"/>
      <w:numFmt w:val="decimal"/>
      <w:lvlText w:val="%1."/>
      <w:lvlJc w:val="left"/>
      <w:pPr>
        <w:ind w:left="360" w:hanging="360"/>
      </w:pPr>
      <w:rPr>
        <w:rFonts w:hint="default"/>
      </w:rPr>
    </w:lvl>
    <w:lvl w:ilvl="1" w:tplc="08090003" w:tentative="1">
      <w:start w:val="1"/>
      <w:numFmt w:val="lowerLetter"/>
      <w:lvlText w:val="%2."/>
      <w:lvlJc w:val="left"/>
      <w:pPr>
        <w:ind w:left="1080" w:hanging="360"/>
      </w:pPr>
    </w:lvl>
    <w:lvl w:ilvl="2" w:tplc="08090005" w:tentative="1">
      <w:start w:val="1"/>
      <w:numFmt w:val="lowerRoman"/>
      <w:lvlText w:val="%3."/>
      <w:lvlJc w:val="right"/>
      <w:pPr>
        <w:ind w:left="1800" w:hanging="180"/>
      </w:pPr>
    </w:lvl>
    <w:lvl w:ilvl="3" w:tplc="08090001" w:tentative="1">
      <w:start w:val="1"/>
      <w:numFmt w:val="decimal"/>
      <w:lvlText w:val="%4."/>
      <w:lvlJc w:val="left"/>
      <w:pPr>
        <w:ind w:left="2520" w:hanging="360"/>
      </w:pPr>
    </w:lvl>
    <w:lvl w:ilvl="4" w:tplc="08090003" w:tentative="1">
      <w:start w:val="1"/>
      <w:numFmt w:val="lowerLetter"/>
      <w:lvlText w:val="%5."/>
      <w:lvlJc w:val="left"/>
      <w:pPr>
        <w:ind w:left="3240" w:hanging="360"/>
      </w:pPr>
    </w:lvl>
    <w:lvl w:ilvl="5" w:tplc="08090005" w:tentative="1">
      <w:start w:val="1"/>
      <w:numFmt w:val="lowerRoman"/>
      <w:lvlText w:val="%6."/>
      <w:lvlJc w:val="right"/>
      <w:pPr>
        <w:ind w:left="3960" w:hanging="180"/>
      </w:pPr>
    </w:lvl>
    <w:lvl w:ilvl="6" w:tplc="08090001" w:tentative="1">
      <w:start w:val="1"/>
      <w:numFmt w:val="decimal"/>
      <w:lvlText w:val="%7."/>
      <w:lvlJc w:val="left"/>
      <w:pPr>
        <w:ind w:left="4680" w:hanging="360"/>
      </w:pPr>
    </w:lvl>
    <w:lvl w:ilvl="7" w:tplc="08090003" w:tentative="1">
      <w:start w:val="1"/>
      <w:numFmt w:val="lowerLetter"/>
      <w:lvlText w:val="%8."/>
      <w:lvlJc w:val="left"/>
      <w:pPr>
        <w:ind w:left="5400" w:hanging="360"/>
      </w:pPr>
    </w:lvl>
    <w:lvl w:ilvl="8" w:tplc="08090005" w:tentative="1">
      <w:start w:val="1"/>
      <w:numFmt w:val="lowerRoman"/>
      <w:lvlText w:val="%9."/>
      <w:lvlJc w:val="right"/>
      <w:pPr>
        <w:ind w:left="6120" w:hanging="180"/>
      </w:pPr>
    </w:lvl>
  </w:abstractNum>
  <w:abstractNum w:abstractNumId="27">
    <w:nsid w:val="545D2D67"/>
    <w:multiLevelType w:val="hybridMultilevel"/>
    <w:tmpl w:val="EDEE8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4A04125"/>
    <w:multiLevelType w:val="hybridMultilevel"/>
    <w:tmpl w:val="917E2C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55980286"/>
    <w:multiLevelType w:val="hybridMultilevel"/>
    <w:tmpl w:val="2FA08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C01550E"/>
    <w:multiLevelType w:val="hybridMultilevel"/>
    <w:tmpl w:val="9C60A672"/>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1">
    <w:nsid w:val="5ED1556B"/>
    <w:multiLevelType w:val="hybridMultilevel"/>
    <w:tmpl w:val="80C6CA36"/>
    <w:lvl w:ilvl="0" w:tplc="08090001">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EE36D34"/>
    <w:multiLevelType w:val="hybridMultilevel"/>
    <w:tmpl w:val="39024994"/>
    <w:lvl w:ilvl="0" w:tplc="08090001">
      <w:start w:val="1"/>
      <w:numFmt w:val="decimal"/>
      <w:lvlText w:val="%1."/>
      <w:lvlJc w:val="left"/>
      <w:pPr>
        <w:ind w:left="360" w:hanging="360"/>
      </w:pPr>
    </w:lvl>
    <w:lvl w:ilvl="1" w:tplc="08090003" w:tentative="1">
      <w:start w:val="1"/>
      <w:numFmt w:val="lowerLetter"/>
      <w:lvlText w:val="%2."/>
      <w:lvlJc w:val="left"/>
      <w:pPr>
        <w:ind w:left="1080" w:hanging="360"/>
      </w:pPr>
    </w:lvl>
    <w:lvl w:ilvl="2" w:tplc="08090005" w:tentative="1">
      <w:start w:val="1"/>
      <w:numFmt w:val="lowerRoman"/>
      <w:lvlText w:val="%3."/>
      <w:lvlJc w:val="right"/>
      <w:pPr>
        <w:ind w:left="1800" w:hanging="180"/>
      </w:pPr>
    </w:lvl>
    <w:lvl w:ilvl="3" w:tplc="08090001" w:tentative="1">
      <w:start w:val="1"/>
      <w:numFmt w:val="decimal"/>
      <w:lvlText w:val="%4."/>
      <w:lvlJc w:val="left"/>
      <w:pPr>
        <w:ind w:left="2520" w:hanging="360"/>
      </w:pPr>
    </w:lvl>
    <w:lvl w:ilvl="4" w:tplc="08090003" w:tentative="1">
      <w:start w:val="1"/>
      <w:numFmt w:val="lowerLetter"/>
      <w:lvlText w:val="%5."/>
      <w:lvlJc w:val="left"/>
      <w:pPr>
        <w:ind w:left="3240" w:hanging="360"/>
      </w:pPr>
    </w:lvl>
    <w:lvl w:ilvl="5" w:tplc="08090005" w:tentative="1">
      <w:start w:val="1"/>
      <w:numFmt w:val="lowerRoman"/>
      <w:lvlText w:val="%6."/>
      <w:lvlJc w:val="right"/>
      <w:pPr>
        <w:ind w:left="3960" w:hanging="180"/>
      </w:pPr>
    </w:lvl>
    <w:lvl w:ilvl="6" w:tplc="08090001" w:tentative="1">
      <w:start w:val="1"/>
      <w:numFmt w:val="decimal"/>
      <w:lvlText w:val="%7."/>
      <w:lvlJc w:val="left"/>
      <w:pPr>
        <w:ind w:left="4680" w:hanging="360"/>
      </w:pPr>
    </w:lvl>
    <w:lvl w:ilvl="7" w:tplc="08090003" w:tentative="1">
      <w:start w:val="1"/>
      <w:numFmt w:val="lowerLetter"/>
      <w:lvlText w:val="%8."/>
      <w:lvlJc w:val="left"/>
      <w:pPr>
        <w:ind w:left="5400" w:hanging="360"/>
      </w:pPr>
    </w:lvl>
    <w:lvl w:ilvl="8" w:tplc="08090005" w:tentative="1">
      <w:start w:val="1"/>
      <w:numFmt w:val="lowerRoman"/>
      <w:lvlText w:val="%9."/>
      <w:lvlJc w:val="right"/>
      <w:pPr>
        <w:ind w:left="6120" w:hanging="180"/>
      </w:pPr>
    </w:lvl>
  </w:abstractNum>
  <w:abstractNum w:abstractNumId="33">
    <w:nsid w:val="60E87255"/>
    <w:multiLevelType w:val="hybridMultilevel"/>
    <w:tmpl w:val="1DB27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3840D25"/>
    <w:multiLevelType w:val="hybridMultilevel"/>
    <w:tmpl w:val="F22656B6"/>
    <w:lvl w:ilvl="0" w:tplc="08090003">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3D418B1"/>
    <w:multiLevelType w:val="hybridMultilevel"/>
    <w:tmpl w:val="D7ACA26C"/>
    <w:lvl w:ilvl="0" w:tplc="08090001">
      <w:start w:val="1"/>
      <w:numFmt w:val="bullet"/>
      <w:lvlText w:val=""/>
      <w:lvlJc w:val="left"/>
      <w:pPr>
        <w:ind w:left="862" w:hanging="360"/>
      </w:pPr>
      <w:rPr>
        <w:rFonts w:ascii="Symbol" w:hAnsi="Symbol" w:hint="default"/>
      </w:rPr>
    </w:lvl>
    <w:lvl w:ilvl="1" w:tplc="08090003">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6">
    <w:nsid w:val="640F51EA"/>
    <w:multiLevelType w:val="hybridMultilevel"/>
    <w:tmpl w:val="7FE61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5D604AE"/>
    <w:multiLevelType w:val="hybridMultilevel"/>
    <w:tmpl w:val="684CA75C"/>
    <w:lvl w:ilvl="0" w:tplc="0809000F">
      <w:start w:val="1"/>
      <w:numFmt w:val="bullet"/>
      <w:lvlText w:val="-"/>
      <w:lvlJc w:val="left"/>
      <w:pPr>
        <w:ind w:left="405" w:hanging="360"/>
      </w:pPr>
      <w:rPr>
        <w:rFonts w:ascii="Arial" w:eastAsia="Times New Roman" w:hAnsi="Arial" w:cs="Arial" w:hint="default"/>
      </w:rPr>
    </w:lvl>
    <w:lvl w:ilvl="1" w:tplc="08090019" w:tentative="1">
      <w:start w:val="1"/>
      <w:numFmt w:val="bullet"/>
      <w:lvlText w:val="o"/>
      <w:lvlJc w:val="left"/>
      <w:pPr>
        <w:ind w:left="1125" w:hanging="360"/>
      </w:pPr>
      <w:rPr>
        <w:rFonts w:ascii="Courier New" w:hAnsi="Courier New" w:cs="Courier New" w:hint="default"/>
      </w:rPr>
    </w:lvl>
    <w:lvl w:ilvl="2" w:tplc="0809001B" w:tentative="1">
      <w:start w:val="1"/>
      <w:numFmt w:val="bullet"/>
      <w:lvlText w:val=""/>
      <w:lvlJc w:val="left"/>
      <w:pPr>
        <w:ind w:left="1845" w:hanging="360"/>
      </w:pPr>
      <w:rPr>
        <w:rFonts w:ascii="Wingdings" w:hAnsi="Wingdings" w:hint="default"/>
      </w:rPr>
    </w:lvl>
    <w:lvl w:ilvl="3" w:tplc="0809000F" w:tentative="1">
      <w:start w:val="1"/>
      <w:numFmt w:val="bullet"/>
      <w:lvlText w:val=""/>
      <w:lvlJc w:val="left"/>
      <w:pPr>
        <w:ind w:left="2565" w:hanging="360"/>
      </w:pPr>
      <w:rPr>
        <w:rFonts w:ascii="Symbol" w:hAnsi="Symbol" w:hint="default"/>
      </w:rPr>
    </w:lvl>
    <w:lvl w:ilvl="4" w:tplc="08090019" w:tentative="1">
      <w:start w:val="1"/>
      <w:numFmt w:val="bullet"/>
      <w:lvlText w:val="o"/>
      <w:lvlJc w:val="left"/>
      <w:pPr>
        <w:ind w:left="3285" w:hanging="360"/>
      </w:pPr>
      <w:rPr>
        <w:rFonts w:ascii="Courier New" w:hAnsi="Courier New" w:cs="Courier New" w:hint="default"/>
      </w:rPr>
    </w:lvl>
    <w:lvl w:ilvl="5" w:tplc="0809001B" w:tentative="1">
      <w:start w:val="1"/>
      <w:numFmt w:val="bullet"/>
      <w:lvlText w:val=""/>
      <w:lvlJc w:val="left"/>
      <w:pPr>
        <w:ind w:left="4005" w:hanging="360"/>
      </w:pPr>
      <w:rPr>
        <w:rFonts w:ascii="Wingdings" w:hAnsi="Wingdings" w:hint="default"/>
      </w:rPr>
    </w:lvl>
    <w:lvl w:ilvl="6" w:tplc="0809000F" w:tentative="1">
      <w:start w:val="1"/>
      <w:numFmt w:val="bullet"/>
      <w:lvlText w:val=""/>
      <w:lvlJc w:val="left"/>
      <w:pPr>
        <w:ind w:left="4725" w:hanging="360"/>
      </w:pPr>
      <w:rPr>
        <w:rFonts w:ascii="Symbol" w:hAnsi="Symbol" w:hint="default"/>
      </w:rPr>
    </w:lvl>
    <w:lvl w:ilvl="7" w:tplc="08090019" w:tentative="1">
      <w:start w:val="1"/>
      <w:numFmt w:val="bullet"/>
      <w:lvlText w:val="o"/>
      <w:lvlJc w:val="left"/>
      <w:pPr>
        <w:ind w:left="5445" w:hanging="360"/>
      </w:pPr>
      <w:rPr>
        <w:rFonts w:ascii="Courier New" w:hAnsi="Courier New" w:cs="Courier New" w:hint="default"/>
      </w:rPr>
    </w:lvl>
    <w:lvl w:ilvl="8" w:tplc="0809001B" w:tentative="1">
      <w:start w:val="1"/>
      <w:numFmt w:val="bullet"/>
      <w:lvlText w:val=""/>
      <w:lvlJc w:val="left"/>
      <w:pPr>
        <w:ind w:left="6165" w:hanging="360"/>
      </w:pPr>
      <w:rPr>
        <w:rFonts w:ascii="Wingdings" w:hAnsi="Wingdings" w:hint="default"/>
      </w:rPr>
    </w:lvl>
  </w:abstractNum>
  <w:abstractNum w:abstractNumId="38">
    <w:nsid w:val="67B856DB"/>
    <w:multiLevelType w:val="hybridMultilevel"/>
    <w:tmpl w:val="C6425B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8D8072B"/>
    <w:multiLevelType w:val="hybridMultilevel"/>
    <w:tmpl w:val="AFDE5E26"/>
    <w:lvl w:ilvl="0" w:tplc="08090001">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9787F00"/>
    <w:multiLevelType w:val="hybridMultilevel"/>
    <w:tmpl w:val="142C4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B4804C3"/>
    <w:multiLevelType w:val="hybridMultilevel"/>
    <w:tmpl w:val="BF64D814"/>
    <w:lvl w:ilvl="0" w:tplc="9372256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EF1508B"/>
    <w:multiLevelType w:val="hybridMultilevel"/>
    <w:tmpl w:val="34F29EE0"/>
    <w:lvl w:ilvl="0" w:tplc="1876AE3E">
      <w:start w:val="3"/>
      <w:numFmt w:val="bullet"/>
      <w:lvlText w:val="-"/>
      <w:lvlJc w:val="left"/>
      <w:pPr>
        <w:ind w:left="405" w:hanging="360"/>
      </w:pPr>
      <w:rPr>
        <w:rFonts w:ascii="Arial" w:eastAsiaTheme="minorHAnsi" w:hAnsi="Arial" w:cs="Arial"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43">
    <w:nsid w:val="73F546B7"/>
    <w:multiLevelType w:val="hybridMultilevel"/>
    <w:tmpl w:val="326E1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54B1512"/>
    <w:multiLevelType w:val="hybridMultilevel"/>
    <w:tmpl w:val="928A246E"/>
    <w:lvl w:ilvl="0" w:tplc="62D2798E">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5C43E6E"/>
    <w:multiLevelType w:val="hybridMultilevel"/>
    <w:tmpl w:val="8FF2CC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nsid w:val="79FB66F0"/>
    <w:multiLevelType w:val="multilevel"/>
    <w:tmpl w:val="1946F76E"/>
    <w:lvl w:ilvl="0">
      <w:start w:val="1"/>
      <w:numFmt w:val="decimal"/>
      <w:lvlText w:val="%1."/>
      <w:lvlJc w:val="left"/>
      <w:pPr>
        <w:ind w:left="360" w:hanging="360"/>
      </w:pPr>
      <w:rPr>
        <w:rFonts w:hint="default"/>
        <w:b/>
      </w:rPr>
    </w:lvl>
    <w:lvl w:ilvl="1">
      <w:start w:val="10"/>
      <w:numFmt w:val="decimal"/>
      <w:isLgl/>
      <w:lvlText w:val="%1.%2"/>
      <w:lvlJc w:val="left"/>
      <w:pPr>
        <w:ind w:left="570" w:hanging="57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1080" w:hanging="108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440" w:hanging="144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800" w:hanging="1800"/>
      </w:pPr>
      <w:rPr>
        <w:rFonts w:hint="default"/>
        <w:b w:val="0"/>
      </w:rPr>
    </w:lvl>
    <w:lvl w:ilvl="8">
      <w:start w:val="1"/>
      <w:numFmt w:val="decimal"/>
      <w:isLgl/>
      <w:lvlText w:val="%1.%2.%3.%4.%5.%6.%7.%8.%9"/>
      <w:lvlJc w:val="left"/>
      <w:pPr>
        <w:ind w:left="1800" w:hanging="1800"/>
      </w:pPr>
      <w:rPr>
        <w:rFonts w:hint="default"/>
        <w:b w:val="0"/>
      </w:rPr>
    </w:lvl>
  </w:abstractNum>
  <w:abstractNum w:abstractNumId="47">
    <w:nsid w:val="7E7F1FED"/>
    <w:multiLevelType w:val="hybridMultilevel"/>
    <w:tmpl w:val="0DCC9186"/>
    <w:lvl w:ilvl="0" w:tplc="D62ABC62">
      <w:start w:val="1"/>
      <w:numFmt w:val="bullet"/>
      <w:lvlText w:val=""/>
      <w:lvlJc w:val="left"/>
      <w:pPr>
        <w:ind w:left="720" w:hanging="360"/>
      </w:pPr>
      <w:rPr>
        <w:rFonts w:ascii="Symbol" w:hAnsi="Symbol"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48">
    <w:nsid w:val="7F9D79BF"/>
    <w:multiLevelType w:val="hybridMultilevel"/>
    <w:tmpl w:val="60BED448"/>
    <w:lvl w:ilvl="0" w:tplc="08090001">
      <w:start w:val="1"/>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num w:numId="1">
    <w:abstractNumId w:val="5"/>
  </w:num>
  <w:num w:numId="2">
    <w:abstractNumId w:val="45"/>
  </w:num>
  <w:num w:numId="3">
    <w:abstractNumId w:val="3"/>
  </w:num>
  <w:num w:numId="4">
    <w:abstractNumId w:val="19"/>
  </w:num>
  <w:num w:numId="5">
    <w:abstractNumId w:val="48"/>
  </w:num>
  <w:num w:numId="6">
    <w:abstractNumId w:val="16"/>
  </w:num>
  <w:num w:numId="7">
    <w:abstractNumId w:val="7"/>
  </w:num>
  <w:num w:numId="8">
    <w:abstractNumId w:val="30"/>
  </w:num>
  <w:num w:numId="9">
    <w:abstractNumId w:val="12"/>
  </w:num>
  <w:num w:numId="10">
    <w:abstractNumId w:val="20"/>
  </w:num>
  <w:num w:numId="11">
    <w:abstractNumId w:val="23"/>
  </w:num>
  <w:num w:numId="12">
    <w:abstractNumId w:val="47"/>
  </w:num>
  <w:num w:numId="13">
    <w:abstractNumId w:val="28"/>
  </w:num>
  <w:num w:numId="14">
    <w:abstractNumId w:val="6"/>
  </w:num>
  <w:num w:numId="15">
    <w:abstractNumId w:val="31"/>
  </w:num>
  <w:num w:numId="16">
    <w:abstractNumId w:val="15"/>
  </w:num>
  <w:num w:numId="17">
    <w:abstractNumId w:val="2"/>
  </w:num>
  <w:num w:numId="18">
    <w:abstractNumId w:val="10"/>
  </w:num>
  <w:num w:numId="19">
    <w:abstractNumId w:val="26"/>
  </w:num>
  <w:num w:numId="20">
    <w:abstractNumId w:val="32"/>
  </w:num>
  <w:num w:numId="21">
    <w:abstractNumId w:val="44"/>
  </w:num>
  <w:num w:numId="22">
    <w:abstractNumId w:val="39"/>
  </w:num>
  <w:num w:numId="23">
    <w:abstractNumId w:val="37"/>
  </w:num>
  <w:num w:numId="24">
    <w:abstractNumId w:val="41"/>
  </w:num>
  <w:num w:numId="25">
    <w:abstractNumId w:val="14"/>
  </w:num>
  <w:num w:numId="26">
    <w:abstractNumId w:val="34"/>
  </w:num>
  <w:num w:numId="27">
    <w:abstractNumId w:val="11"/>
  </w:num>
  <w:num w:numId="28">
    <w:abstractNumId w:val="9"/>
  </w:num>
  <w:num w:numId="29">
    <w:abstractNumId w:val="21"/>
  </w:num>
  <w:num w:numId="30">
    <w:abstractNumId w:val="25"/>
  </w:num>
  <w:num w:numId="31">
    <w:abstractNumId w:val="43"/>
  </w:num>
  <w:num w:numId="32">
    <w:abstractNumId w:val="46"/>
  </w:num>
  <w:num w:numId="33">
    <w:abstractNumId w:val="13"/>
  </w:num>
  <w:num w:numId="34">
    <w:abstractNumId w:val="36"/>
  </w:num>
  <w:num w:numId="35">
    <w:abstractNumId w:val="29"/>
  </w:num>
  <w:num w:numId="36">
    <w:abstractNumId w:val="27"/>
  </w:num>
  <w:num w:numId="37">
    <w:abstractNumId w:val="33"/>
  </w:num>
  <w:num w:numId="38">
    <w:abstractNumId w:val="35"/>
  </w:num>
  <w:num w:numId="39">
    <w:abstractNumId w:val="38"/>
  </w:num>
  <w:num w:numId="40">
    <w:abstractNumId w:val="1"/>
  </w:num>
  <w:num w:numId="41">
    <w:abstractNumId w:val="24"/>
  </w:num>
  <w:num w:numId="42">
    <w:abstractNumId w:val="8"/>
  </w:num>
  <w:num w:numId="43">
    <w:abstractNumId w:val="0"/>
  </w:num>
  <w:num w:numId="44">
    <w:abstractNumId w:val="40"/>
  </w:num>
  <w:num w:numId="45">
    <w:abstractNumId w:val="17"/>
  </w:num>
  <w:num w:numId="46">
    <w:abstractNumId w:val="18"/>
  </w:num>
  <w:num w:numId="47">
    <w:abstractNumId w:val="4"/>
  </w:num>
  <w:num w:numId="48">
    <w:abstractNumId w:val="22"/>
  </w:num>
  <w:num w:numId="49">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B8F"/>
    <w:rsid w:val="00002EFD"/>
    <w:rsid w:val="00005E0F"/>
    <w:rsid w:val="00010EAD"/>
    <w:rsid w:val="000161A0"/>
    <w:rsid w:val="00020FC9"/>
    <w:rsid w:val="000300FA"/>
    <w:rsid w:val="00036AFA"/>
    <w:rsid w:val="00051031"/>
    <w:rsid w:val="00072E4E"/>
    <w:rsid w:val="000738F4"/>
    <w:rsid w:val="00075226"/>
    <w:rsid w:val="00077EAD"/>
    <w:rsid w:val="00082982"/>
    <w:rsid w:val="000A07BC"/>
    <w:rsid w:val="000A0E26"/>
    <w:rsid w:val="000A5931"/>
    <w:rsid w:val="000A695D"/>
    <w:rsid w:val="000B6BFD"/>
    <w:rsid w:val="000C1682"/>
    <w:rsid w:val="000D42B6"/>
    <w:rsid w:val="000D4E1E"/>
    <w:rsid w:val="000D517C"/>
    <w:rsid w:val="000E1596"/>
    <w:rsid w:val="000E2FBD"/>
    <w:rsid w:val="000E4B4F"/>
    <w:rsid w:val="000E5775"/>
    <w:rsid w:val="000E79AF"/>
    <w:rsid w:val="000F0003"/>
    <w:rsid w:val="000F5879"/>
    <w:rsid w:val="001010C9"/>
    <w:rsid w:val="00102BA5"/>
    <w:rsid w:val="00110855"/>
    <w:rsid w:val="00110C51"/>
    <w:rsid w:val="0011415A"/>
    <w:rsid w:val="00117841"/>
    <w:rsid w:val="00117F45"/>
    <w:rsid w:val="001201AA"/>
    <w:rsid w:val="0012054F"/>
    <w:rsid w:val="0012112C"/>
    <w:rsid w:val="0012578C"/>
    <w:rsid w:val="001329CB"/>
    <w:rsid w:val="00132FF0"/>
    <w:rsid w:val="00133F8F"/>
    <w:rsid w:val="00140567"/>
    <w:rsid w:val="00143309"/>
    <w:rsid w:val="00147C26"/>
    <w:rsid w:val="00154393"/>
    <w:rsid w:val="00154DFF"/>
    <w:rsid w:val="001559F7"/>
    <w:rsid w:val="00157FF9"/>
    <w:rsid w:val="001746FD"/>
    <w:rsid w:val="00184BA1"/>
    <w:rsid w:val="00193694"/>
    <w:rsid w:val="00195739"/>
    <w:rsid w:val="00196AE0"/>
    <w:rsid w:val="001A0D06"/>
    <w:rsid w:val="001A1BBE"/>
    <w:rsid w:val="001B0238"/>
    <w:rsid w:val="001B1662"/>
    <w:rsid w:val="001B6551"/>
    <w:rsid w:val="001C4A14"/>
    <w:rsid w:val="001E573E"/>
    <w:rsid w:val="001E6380"/>
    <w:rsid w:val="001F36F3"/>
    <w:rsid w:val="001F4A2B"/>
    <w:rsid w:val="001F584E"/>
    <w:rsid w:val="002020C4"/>
    <w:rsid w:val="00213505"/>
    <w:rsid w:val="00223D2B"/>
    <w:rsid w:val="00227170"/>
    <w:rsid w:val="00231D2D"/>
    <w:rsid w:val="002342E2"/>
    <w:rsid w:val="002347AC"/>
    <w:rsid w:val="00237BF6"/>
    <w:rsid w:val="00242C4F"/>
    <w:rsid w:val="002460FB"/>
    <w:rsid w:val="00246F7F"/>
    <w:rsid w:val="002502F7"/>
    <w:rsid w:val="00250FD5"/>
    <w:rsid w:val="00253352"/>
    <w:rsid w:val="00256DD0"/>
    <w:rsid w:val="002573AC"/>
    <w:rsid w:val="00257FAA"/>
    <w:rsid w:val="0026077B"/>
    <w:rsid w:val="00260803"/>
    <w:rsid w:val="00260A69"/>
    <w:rsid w:val="00261285"/>
    <w:rsid w:val="00261C95"/>
    <w:rsid w:val="002731EF"/>
    <w:rsid w:val="00276386"/>
    <w:rsid w:val="00277C74"/>
    <w:rsid w:val="00283413"/>
    <w:rsid w:val="0029304E"/>
    <w:rsid w:val="002A1032"/>
    <w:rsid w:val="002A14D3"/>
    <w:rsid w:val="002B1803"/>
    <w:rsid w:val="002B326B"/>
    <w:rsid w:val="002C214E"/>
    <w:rsid w:val="002C2AE9"/>
    <w:rsid w:val="002E137C"/>
    <w:rsid w:val="0030114D"/>
    <w:rsid w:val="003065DF"/>
    <w:rsid w:val="00311FCD"/>
    <w:rsid w:val="00325FDF"/>
    <w:rsid w:val="0032688D"/>
    <w:rsid w:val="003269ED"/>
    <w:rsid w:val="00331458"/>
    <w:rsid w:val="003315FB"/>
    <w:rsid w:val="00337490"/>
    <w:rsid w:val="00340526"/>
    <w:rsid w:val="003407E4"/>
    <w:rsid w:val="00347417"/>
    <w:rsid w:val="00350632"/>
    <w:rsid w:val="00351A49"/>
    <w:rsid w:val="00354389"/>
    <w:rsid w:val="003608CE"/>
    <w:rsid w:val="00360DAD"/>
    <w:rsid w:val="00361A26"/>
    <w:rsid w:val="00366162"/>
    <w:rsid w:val="00367BD8"/>
    <w:rsid w:val="00371C64"/>
    <w:rsid w:val="003752D0"/>
    <w:rsid w:val="00384607"/>
    <w:rsid w:val="00396A40"/>
    <w:rsid w:val="0039746B"/>
    <w:rsid w:val="003A3989"/>
    <w:rsid w:val="003A57BD"/>
    <w:rsid w:val="003B0F65"/>
    <w:rsid w:val="003B45D1"/>
    <w:rsid w:val="003B522D"/>
    <w:rsid w:val="003B5735"/>
    <w:rsid w:val="003C4159"/>
    <w:rsid w:val="003C66D1"/>
    <w:rsid w:val="003D39AD"/>
    <w:rsid w:val="003D7BB3"/>
    <w:rsid w:val="003D7F79"/>
    <w:rsid w:val="003E75EA"/>
    <w:rsid w:val="003F2941"/>
    <w:rsid w:val="003F2AD3"/>
    <w:rsid w:val="003F2ED1"/>
    <w:rsid w:val="003F3C1C"/>
    <w:rsid w:val="003F3FBB"/>
    <w:rsid w:val="003F5992"/>
    <w:rsid w:val="00400D34"/>
    <w:rsid w:val="0041712C"/>
    <w:rsid w:val="00417C62"/>
    <w:rsid w:val="004202A8"/>
    <w:rsid w:val="0042169D"/>
    <w:rsid w:val="00421EAA"/>
    <w:rsid w:val="00425199"/>
    <w:rsid w:val="00430353"/>
    <w:rsid w:val="00437E9C"/>
    <w:rsid w:val="00441418"/>
    <w:rsid w:val="00446A1A"/>
    <w:rsid w:val="00447890"/>
    <w:rsid w:val="004524DA"/>
    <w:rsid w:val="0045438C"/>
    <w:rsid w:val="004554FE"/>
    <w:rsid w:val="004555C2"/>
    <w:rsid w:val="00460756"/>
    <w:rsid w:val="00461D30"/>
    <w:rsid w:val="00473069"/>
    <w:rsid w:val="0047388F"/>
    <w:rsid w:val="004739B5"/>
    <w:rsid w:val="00474209"/>
    <w:rsid w:val="00475087"/>
    <w:rsid w:val="004751F1"/>
    <w:rsid w:val="004771AC"/>
    <w:rsid w:val="00481597"/>
    <w:rsid w:val="004871A9"/>
    <w:rsid w:val="004908A1"/>
    <w:rsid w:val="00495987"/>
    <w:rsid w:val="004960AD"/>
    <w:rsid w:val="00497A57"/>
    <w:rsid w:val="004A7CF4"/>
    <w:rsid w:val="004C3FED"/>
    <w:rsid w:val="004D451E"/>
    <w:rsid w:val="004E1182"/>
    <w:rsid w:val="004F1600"/>
    <w:rsid w:val="004F1864"/>
    <w:rsid w:val="004F37C4"/>
    <w:rsid w:val="004F4AAB"/>
    <w:rsid w:val="004F6DD0"/>
    <w:rsid w:val="00501D7C"/>
    <w:rsid w:val="00507A20"/>
    <w:rsid w:val="00511F36"/>
    <w:rsid w:val="00514A1C"/>
    <w:rsid w:val="00517983"/>
    <w:rsid w:val="00522B50"/>
    <w:rsid w:val="005277BC"/>
    <w:rsid w:val="00530A08"/>
    <w:rsid w:val="005313A8"/>
    <w:rsid w:val="00531C81"/>
    <w:rsid w:val="00552CB7"/>
    <w:rsid w:val="005534FC"/>
    <w:rsid w:val="005551A5"/>
    <w:rsid w:val="005651D4"/>
    <w:rsid w:val="00565214"/>
    <w:rsid w:val="005664D7"/>
    <w:rsid w:val="00574F51"/>
    <w:rsid w:val="00581CE5"/>
    <w:rsid w:val="005821A3"/>
    <w:rsid w:val="0059059A"/>
    <w:rsid w:val="00597665"/>
    <w:rsid w:val="005A1981"/>
    <w:rsid w:val="005A332F"/>
    <w:rsid w:val="005A3628"/>
    <w:rsid w:val="005C0531"/>
    <w:rsid w:val="005C7302"/>
    <w:rsid w:val="005D028C"/>
    <w:rsid w:val="005D0A94"/>
    <w:rsid w:val="005D3192"/>
    <w:rsid w:val="005D3DDE"/>
    <w:rsid w:val="005D4039"/>
    <w:rsid w:val="005D701C"/>
    <w:rsid w:val="005E0DE6"/>
    <w:rsid w:val="005E1202"/>
    <w:rsid w:val="005E6FBA"/>
    <w:rsid w:val="005F1104"/>
    <w:rsid w:val="005F2608"/>
    <w:rsid w:val="005F5E69"/>
    <w:rsid w:val="00600FF5"/>
    <w:rsid w:val="00605564"/>
    <w:rsid w:val="006236CE"/>
    <w:rsid w:val="00624E70"/>
    <w:rsid w:val="00625FE1"/>
    <w:rsid w:val="00635003"/>
    <w:rsid w:val="006409DE"/>
    <w:rsid w:val="00646AE3"/>
    <w:rsid w:val="00657459"/>
    <w:rsid w:val="00667F7B"/>
    <w:rsid w:val="0067193F"/>
    <w:rsid w:val="00676F5F"/>
    <w:rsid w:val="006770C6"/>
    <w:rsid w:val="00677299"/>
    <w:rsid w:val="00680D25"/>
    <w:rsid w:val="00683240"/>
    <w:rsid w:val="00685B69"/>
    <w:rsid w:val="00690962"/>
    <w:rsid w:val="00693895"/>
    <w:rsid w:val="006A6608"/>
    <w:rsid w:val="006A6C12"/>
    <w:rsid w:val="006A7C9B"/>
    <w:rsid w:val="006B319E"/>
    <w:rsid w:val="006B685C"/>
    <w:rsid w:val="006C54DE"/>
    <w:rsid w:val="006C5D59"/>
    <w:rsid w:val="006D4B7F"/>
    <w:rsid w:val="006D4EF7"/>
    <w:rsid w:val="006E1F78"/>
    <w:rsid w:val="006F7E10"/>
    <w:rsid w:val="007126F2"/>
    <w:rsid w:val="0071351C"/>
    <w:rsid w:val="007163E5"/>
    <w:rsid w:val="007233F8"/>
    <w:rsid w:val="00724888"/>
    <w:rsid w:val="007273E4"/>
    <w:rsid w:val="00732523"/>
    <w:rsid w:val="00733CF8"/>
    <w:rsid w:val="007352A4"/>
    <w:rsid w:val="007378C0"/>
    <w:rsid w:val="007479C9"/>
    <w:rsid w:val="00754EA2"/>
    <w:rsid w:val="0075571A"/>
    <w:rsid w:val="00764815"/>
    <w:rsid w:val="007676A9"/>
    <w:rsid w:val="00772607"/>
    <w:rsid w:val="00774197"/>
    <w:rsid w:val="00774294"/>
    <w:rsid w:val="0078662F"/>
    <w:rsid w:val="007919B5"/>
    <w:rsid w:val="0079355A"/>
    <w:rsid w:val="00796E45"/>
    <w:rsid w:val="007A1B72"/>
    <w:rsid w:val="007A357B"/>
    <w:rsid w:val="007A4ACF"/>
    <w:rsid w:val="007B073E"/>
    <w:rsid w:val="007B7D8D"/>
    <w:rsid w:val="007C209B"/>
    <w:rsid w:val="007C2642"/>
    <w:rsid w:val="007C2B29"/>
    <w:rsid w:val="007C5BB7"/>
    <w:rsid w:val="007E1695"/>
    <w:rsid w:val="007F0D70"/>
    <w:rsid w:val="007F1759"/>
    <w:rsid w:val="007F55CE"/>
    <w:rsid w:val="007F5626"/>
    <w:rsid w:val="008066A5"/>
    <w:rsid w:val="008068FC"/>
    <w:rsid w:val="008232DE"/>
    <w:rsid w:val="00834597"/>
    <w:rsid w:val="00842A24"/>
    <w:rsid w:val="0084350B"/>
    <w:rsid w:val="00851E0D"/>
    <w:rsid w:val="0085368B"/>
    <w:rsid w:val="00853EBD"/>
    <w:rsid w:val="00855127"/>
    <w:rsid w:val="00857E9D"/>
    <w:rsid w:val="008610D4"/>
    <w:rsid w:val="00861A24"/>
    <w:rsid w:val="008704E4"/>
    <w:rsid w:val="00877726"/>
    <w:rsid w:val="008830A7"/>
    <w:rsid w:val="00885373"/>
    <w:rsid w:val="008921A0"/>
    <w:rsid w:val="008969D6"/>
    <w:rsid w:val="008A305D"/>
    <w:rsid w:val="008B0D76"/>
    <w:rsid w:val="008B28C0"/>
    <w:rsid w:val="008B3345"/>
    <w:rsid w:val="008C2E44"/>
    <w:rsid w:val="008C535B"/>
    <w:rsid w:val="008C741C"/>
    <w:rsid w:val="008D1289"/>
    <w:rsid w:val="008D42F2"/>
    <w:rsid w:val="008D761B"/>
    <w:rsid w:val="008E60E9"/>
    <w:rsid w:val="008E68E3"/>
    <w:rsid w:val="0090486C"/>
    <w:rsid w:val="009063F9"/>
    <w:rsid w:val="009215D0"/>
    <w:rsid w:val="00923868"/>
    <w:rsid w:val="00930C5C"/>
    <w:rsid w:val="00934816"/>
    <w:rsid w:val="00940642"/>
    <w:rsid w:val="009426A5"/>
    <w:rsid w:val="00946323"/>
    <w:rsid w:val="00955CBD"/>
    <w:rsid w:val="0096375E"/>
    <w:rsid w:val="00967E24"/>
    <w:rsid w:val="00981213"/>
    <w:rsid w:val="00981F93"/>
    <w:rsid w:val="0098797D"/>
    <w:rsid w:val="009A2AE7"/>
    <w:rsid w:val="009B3D43"/>
    <w:rsid w:val="009B423F"/>
    <w:rsid w:val="009C1010"/>
    <w:rsid w:val="009C52F8"/>
    <w:rsid w:val="009D28C2"/>
    <w:rsid w:val="009D7731"/>
    <w:rsid w:val="009E0A93"/>
    <w:rsid w:val="009E180D"/>
    <w:rsid w:val="009E28ED"/>
    <w:rsid w:val="009E2D02"/>
    <w:rsid w:val="009E7E4B"/>
    <w:rsid w:val="009F2295"/>
    <w:rsid w:val="009F7025"/>
    <w:rsid w:val="00A035C6"/>
    <w:rsid w:val="00A0433C"/>
    <w:rsid w:val="00A140D3"/>
    <w:rsid w:val="00A162D1"/>
    <w:rsid w:val="00A20979"/>
    <w:rsid w:val="00A20B8F"/>
    <w:rsid w:val="00A275CA"/>
    <w:rsid w:val="00A3289E"/>
    <w:rsid w:val="00A3436F"/>
    <w:rsid w:val="00A40505"/>
    <w:rsid w:val="00A50F9D"/>
    <w:rsid w:val="00A524E4"/>
    <w:rsid w:val="00A608B8"/>
    <w:rsid w:val="00A64C3B"/>
    <w:rsid w:val="00A70E5A"/>
    <w:rsid w:val="00A73D22"/>
    <w:rsid w:val="00A76966"/>
    <w:rsid w:val="00A84ABA"/>
    <w:rsid w:val="00A938E4"/>
    <w:rsid w:val="00A950A2"/>
    <w:rsid w:val="00A96E68"/>
    <w:rsid w:val="00AA1383"/>
    <w:rsid w:val="00AA15F2"/>
    <w:rsid w:val="00AB609D"/>
    <w:rsid w:val="00AB6841"/>
    <w:rsid w:val="00AB771E"/>
    <w:rsid w:val="00AD08A2"/>
    <w:rsid w:val="00AD40A8"/>
    <w:rsid w:val="00AD4A2D"/>
    <w:rsid w:val="00AD6B3D"/>
    <w:rsid w:val="00AD7B6F"/>
    <w:rsid w:val="00AE0629"/>
    <w:rsid w:val="00AF07BD"/>
    <w:rsid w:val="00AF2180"/>
    <w:rsid w:val="00AF3F3C"/>
    <w:rsid w:val="00AF5C55"/>
    <w:rsid w:val="00B022EF"/>
    <w:rsid w:val="00B0565E"/>
    <w:rsid w:val="00B05AD1"/>
    <w:rsid w:val="00B10CB7"/>
    <w:rsid w:val="00B1233A"/>
    <w:rsid w:val="00B151BE"/>
    <w:rsid w:val="00B20BBA"/>
    <w:rsid w:val="00B22F67"/>
    <w:rsid w:val="00B236D4"/>
    <w:rsid w:val="00B52AB0"/>
    <w:rsid w:val="00B55FCB"/>
    <w:rsid w:val="00B631E0"/>
    <w:rsid w:val="00B6332C"/>
    <w:rsid w:val="00B67618"/>
    <w:rsid w:val="00B702C6"/>
    <w:rsid w:val="00B764F1"/>
    <w:rsid w:val="00B81CA1"/>
    <w:rsid w:val="00B86B3B"/>
    <w:rsid w:val="00B90DCE"/>
    <w:rsid w:val="00B95C69"/>
    <w:rsid w:val="00BA45C9"/>
    <w:rsid w:val="00BB4BD5"/>
    <w:rsid w:val="00BB7898"/>
    <w:rsid w:val="00BC2F17"/>
    <w:rsid w:val="00BD077C"/>
    <w:rsid w:val="00BD30A0"/>
    <w:rsid w:val="00BE2F20"/>
    <w:rsid w:val="00BE6883"/>
    <w:rsid w:val="00BF1870"/>
    <w:rsid w:val="00BF5416"/>
    <w:rsid w:val="00C00CBA"/>
    <w:rsid w:val="00C02CBA"/>
    <w:rsid w:val="00C0520A"/>
    <w:rsid w:val="00C11AD5"/>
    <w:rsid w:val="00C1770A"/>
    <w:rsid w:val="00C1792B"/>
    <w:rsid w:val="00C20C97"/>
    <w:rsid w:val="00C23A74"/>
    <w:rsid w:val="00C251D5"/>
    <w:rsid w:val="00C2786C"/>
    <w:rsid w:val="00C34B5B"/>
    <w:rsid w:val="00C42846"/>
    <w:rsid w:val="00C50BD4"/>
    <w:rsid w:val="00C5548F"/>
    <w:rsid w:val="00C57A53"/>
    <w:rsid w:val="00C630D0"/>
    <w:rsid w:val="00C66050"/>
    <w:rsid w:val="00C66195"/>
    <w:rsid w:val="00C668EB"/>
    <w:rsid w:val="00C673D9"/>
    <w:rsid w:val="00C773CB"/>
    <w:rsid w:val="00C858D7"/>
    <w:rsid w:val="00C87119"/>
    <w:rsid w:val="00C91666"/>
    <w:rsid w:val="00C96007"/>
    <w:rsid w:val="00CA5284"/>
    <w:rsid w:val="00CB720F"/>
    <w:rsid w:val="00CC285B"/>
    <w:rsid w:val="00CC341E"/>
    <w:rsid w:val="00CC6707"/>
    <w:rsid w:val="00CE7E5A"/>
    <w:rsid w:val="00CF2564"/>
    <w:rsid w:val="00CF2DB4"/>
    <w:rsid w:val="00CF4949"/>
    <w:rsid w:val="00D123AB"/>
    <w:rsid w:val="00D21EA3"/>
    <w:rsid w:val="00D24778"/>
    <w:rsid w:val="00D26555"/>
    <w:rsid w:val="00D33BB0"/>
    <w:rsid w:val="00D36AF3"/>
    <w:rsid w:val="00D378FE"/>
    <w:rsid w:val="00D46307"/>
    <w:rsid w:val="00D47529"/>
    <w:rsid w:val="00D60C40"/>
    <w:rsid w:val="00D63120"/>
    <w:rsid w:val="00D666B6"/>
    <w:rsid w:val="00D730F4"/>
    <w:rsid w:val="00D80B4B"/>
    <w:rsid w:val="00D83FF9"/>
    <w:rsid w:val="00D85ACC"/>
    <w:rsid w:val="00D871F8"/>
    <w:rsid w:val="00DA0232"/>
    <w:rsid w:val="00DB5726"/>
    <w:rsid w:val="00DB5AA0"/>
    <w:rsid w:val="00DC04C9"/>
    <w:rsid w:val="00DC2DBF"/>
    <w:rsid w:val="00DD06A4"/>
    <w:rsid w:val="00DD22B3"/>
    <w:rsid w:val="00DD28A8"/>
    <w:rsid w:val="00DD33AC"/>
    <w:rsid w:val="00DD78EB"/>
    <w:rsid w:val="00DF0DE5"/>
    <w:rsid w:val="00DF1CAA"/>
    <w:rsid w:val="00DF35E4"/>
    <w:rsid w:val="00E07A75"/>
    <w:rsid w:val="00E1007F"/>
    <w:rsid w:val="00E126B5"/>
    <w:rsid w:val="00E13B97"/>
    <w:rsid w:val="00E15400"/>
    <w:rsid w:val="00E15FB5"/>
    <w:rsid w:val="00E27C29"/>
    <w:rsid w:val="00E41E73"/>
    <w:rsid w:val="00E4472D"/>
    <w:rsid w:val="00E47245"/>
    <w:rsid w:val="00E537DA"/>
    <w:rsid w:val="00E70A51"/>
    <w:rsid w:val="00E8122E"/>
    <w:rsid w:val="00E81868"/>
    <w:rsid w:val="00E83BB5"/>
    <w:rsid w:val="00E84EAE"/>
    <w:rsid w:val="00E87D83"/>
    <w:rsid w:val="00E90994"/>
    <w:rsid w:val="00E94B3A"/>
    <w:rsid w:val="00E95442"/>
    <w:rsid w:val="00E95E82"/>
    <w:rsid w:val="00E96BDC"/>
    <w:rsid w:val="00EA51B4"/>
    <w:rsid w:val="00EC11B7"/>
    <w:rsid w:val="00EC2BB4"/>
    <w:rsid w:val="00ED2CC8"/>
    <w:rsid w:val="00ED4D46"/>
    <w:rsid w:val="00ED7B25"/>
    <w:rsid w:val="00ED7BC1"/>
    <w:rsid w:val="00ED7C97"/>
    <w:rsid w:val="00ED7EE6"/>
    <w:rsid w:val="00EE1BD0"/>
    <w:rsid w:val="00EF07FD"/>
    <w:rsid w:val="00EF098D"/>
    <w:rsid w:val="00EF3B19"/>
    <w:rsid w:val="00F007C8"/>
    <w:rsid w:val="00F011B3"/>
    <w:rsid w:val="00F01BB9"/>
    <w:rsid w:val="00F02674"/>
    <w:rsid w:val="00F028E4"/>
    <w:rsid w:val="00F02BB4"/>
    <w:rsid w:val="00F063D2"/>
    <w:rsid w:val="00F07956"/>
    <w:rsid w:val="00F139BE"/>
    <w:rsid w:val="00F14B43"/>
    <w:rsid w:val="00F16FBF"/>
    <w:rsid w:val="00F21836"/>
    <w:rsid w:val="00F21CBE"/>
    <w:rsid w:val="00F25ECB"/>
    <w:rsid w:val="00F374B2"/>
    <w:rsid w:val="00F37F45"/>
    <w:rsid w:val="00F4087E"/>
    <w:rsid w:val="00F47154"/>
    <w:rsid w:val="00F5117B"/>
    <w:rsid w:val="00F56D78"/>
    <w:rsid w:val="00F57AB0"/>
    <w:rsid w:val="00F61FDD"/>
    <w:rsid w:val="00F64D9C"/>
    <w:rsid w:val="00F678A7"/>
    <w:rsid w:val="00F70E66"/>
    <w:rsid w:val="00F713F1"/>
    <w:rsid w:val="00F77C70"/>
    <w:rsid w:val="00F94DAD"/>
    <w:rsid w:val="00F96D41"/>
    <w:rsid w:val="00FA45F8"/>
    <w:rsid w:val="00FA7076"/>
    <w:rsid w:val="00FA7C52"/>
    <w:rsid w:val="00FB01D0"/>
    <w:rsid w:val="00FB3C35"/>
    <w:rsid w:val="00FC29C5"/>
    <w:rsid w:val="00FD285B"/>
    <w:rsid w:val="00FD3274"/>
    <w:rsid w:val="00FD72EF"/>
    <w:rsid w:val="00FE2C4D"/>
    <w:rsid w:val="00FE433B"/>
    <w:rsid w:val="00FE68DC"/>
    <w:rsid w:val="00FE7550"/>
    <w:rsid w:val="00FF21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1A0"/>
    <w:rPr>
      <w:rFonts w:ascii="Arial" w:hAnsi="Arial"/>
      <w:sz w:val="24"/>
    </w:rPr>
  </w:style>
  <w:style w:type="paragraph" w:styleId="Heading2">
    <w:name w:val="heading 2"/>
    <w:basedOn w:val="Normal"/>
    <w:next w:val="Normal"/>
    <w:link w:val="Heading2Char"/>
    <w:uiPriority w:val="9"/>
    <w:unhideWhenUsed/>
    <w:qFormat/>
    <w:rsid w:val="00842A2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1A49"/>
    <w:pPr>
      <w:ind w:left="720"/>
      <w:contextualSpacing/>
    </w:pPr>
  </w:style>
  <w:style w:type="paragraph" w:customStyle="1" w:styleId="Body1">
    <w:name w:val="Body 1"/>
    <w:rsid w:val="00B151BE"/>
    <w:pPr>
      <w:outlineLvl w:val="0"/>
    </w:pPr>
    <w:rPr>
      <w:rFonts w:ascii="Arial" w:eastAsia="Arial Unicode MS" w:hAnsi="Arial" w:cs="Times New Roman"/>
      <w:color w:val="000000"/>
      <w:sz w:val="24"/>
      <w:szCs w:val="20"/>
      <w:u w:color="000000"/>
      <w:lang w:eastAsia="en-GB"/>
    </w:rPr>
  </w:style>
  <w:style w:type="table" w:styleId="TableGrid">
    <w:name w:val="Table Grid"/>
    <w:basedOn w:val="TableNormal"/>
    <w:uiPriority w:val="59"/>
    <w:rsid w:val="001957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842A24"/>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8C2E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2E44"/>
    <w:rPr>
      <w:rFonts w:ascii="Tahoma" w:hAnsi="Tahoma" w:cs="Tahoma"/>
      <w:sz w:val="16"/>
      <w:szCs w:val="16"/>
    </w:rPr>
  </w:style>
  <w:style w:type="paragraph" w:styleId="NoSpacing">
    <w:name w:val="No Spacing"/>
    <w:uiPriority w:val="1"/>
    <w:qFormat/>
    <w:rsid w:val="001B6551"/>
    <w:pPr>
      <w:spacing w:after="0" w:line="240" w:lineRule="auto"/>
    </w:pPr>
    <w:rPr>
      <w:rFonts w:ascii="Arial" w:hAnsi="Arial"/>
      <w:sz w:val="24"/>
    </w:rPr>
  </w:style>
  <w:style w:type="character" w:styleId="CommentReference">
    <w:name w:val="annotation reference"/>
    <w:basedOn w:val="DefaultParagraphFont"/>
    <w:uiPriority w:val="99"/>
    <w:semiHidden/>
    <w:unhideWhenUsed/>
    <w:rsid w:val="0067193F"/>
    <w:rPr>
      <w:sz w:val="16"/>
      <w:szCs w:val="16"/>
    </w:rPr>
  </w:style>
  <w:style w:type="paragraph" w:styleId="CommentText">
    <w:name w:val="annotation text"/>
    <w:basedOn w:val="Normal"/>
    <w:link w:val="CommentTextChar"/>
    <w:uiPriority w:val="99"/>
    <w:semiHidden/>
    <w:unhideWhenUsed/>
    <w:rsid w:val="0067193F"/>
    <w:pPr>
      <w:spacing w:line="240" w:lineRule="auto"/>
    </w:pPr>
    <w:rPr>
      <w:sz w:val="20"/>
      <w:szCs w:val="20"/>
    </w:rPr>
  </w:style>
  <w:style w:type="character" w:customStyle="1" w:styleId="CommentTextChar">
    <w:name w:val="Comment Text Char"/>
    <w:basedOn w:val="DefaultParagraphFont"/>
    <w:link w:val="CommentText"/>
    <w:uiPriority w:val="99"/>
    <w:semiHidden/>
    <w:rsid w:val="0067193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7193F"/>
    <w:rPr>
      <w:b/>
      <w:bCs/>
    </w:rPr>
  </w:style>
  <w:style w:type="character" w:customStyle="1" w:styleId="CommentSubjectChar">
    <w:name w:val="Comment Subject Char"/>
    <w:basedOn w:val="CommentTextChar"/>
    <w:link w:val="CommentSubject"/>
    <w:uiPriority w:val="99"/>
    <w:semiHidden/>
    <w:rsid w:val="0067193F"/>
    <w:rPr>
      <w:rFonts w:ascii="Arial" w:hAnsi="Arial"/>
      <w:b/>
      <w:bCs/>
      <w:sz w:val="20"/>
      <w:szCs w:val="20"/>
    </w:rPr>
  </w:style>
  <w:style w:type="paragraph" w:styleId="Header">
    <w:name w:val="header"/>
    <w:basedOn w:val="Normal"/>
    <w:link w:val="HeaderChar"/>
    <w:uiPriority w:val="99"/>
    <w:semiHidden/>
    <w:unhideWhenUsed/>
    <w:rsid w:val="00117F4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17F45"/>
    <w:rPr>
      <w:rFonts w:ascii="Arial" w:hAnsi="Arial"/>
      <w:sz w:val="24"/>
    </w:rPr>
  </w:style>
  <w:style w:type="paragraph" w:styleId="Footer">
    <w:name w:val="footer"/>
    <w:basedOn w:val="Normal"/>
    <w:link w:val="FooterChar"/>
    <w:uiPriority w:val="99"/>
    <w:semiHidden/>
    <w:unhideWhenUsed/>
    <w:rsid w:val="00117F4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17F45"/>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1A0"/>
    <w:rPr>
      <w:rFonts w:ascii="Arial" w:hAnsi="Arial"/>
      <w:sz w:val="24"/>
    </w:rPr>
  </w:style>
  <w:style w:type="paragraph" w:styleId="Heading2">
    <w:name w:val="heading 2"/>
    <w:basedOn w:val="Normal"/>
    <w:next w:val="Normal"/>
    <w:link w:val="Heading2Char"/>
    <w:uiPriority w:val="9"/>
    <w:unhideWhenUsed/>
    <w:qFormat/>
    <w:rsid w:val="00842A2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1A49"/>
    <w:pPr>
      <w:ind w:left="720"/>
      <w:contextualSpacing/>
    </w:pPr>
  </w:style>
  <w:style w:type="paragraph" w:customStyle="1" w:styleId="Body1">
    <w:name w:val="Body 1"/>
    <w:rsid w:val="00B151BE"/>
    <w:pPr>
      <w:outlineLvl w:val="0"/>
    </w:pPr>
    <w:rPr>
      <w:rFonts w:ascii="Arial" w:eastAsia="Arial Unicode MS" w:hAnsi="Arial" w:cs="Times New Roman"/>
      <w:color w:val="000000"/>
      <w:sz w:val="24"/>
      <w:szCs w:val="20"/>
      <w:u w:color="000000"/>
      <w:lang w:eastAsia="en-GB"/>
    </w:rPr>
  </w:style>
  <w:style w:type="table" w:styleId="TableGrid">
    <w:name w:val="Table Grid"/>
    <w:basedOn w:val="TableNormal"/>
    <w:uiPriority w:val="59"/>
    <w:rsid w:val="001957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842A24"/>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8C2E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2E44"/>
    <w:rPr>
      <w:rFonts w:ascii="Tahoma" w:hAnsi="Tahoma" w:cs="Tahoma"/>
      <w:sz w:val="16"/>
      <w:szCs w:val="16"/>
    </w:rPr>
  </w:style>
  <w:style w:type="paragraph" w:styleId="NoSpacing">
    <w:name w:val="No Spacing"/>
    <w:uiPriority w:val="1"/>
    <w:qFormat/>
    <w:rsid w:val="001B6551"/>
    <w:pPr>
      <w:spacing w:after="0" w:line="240" w:lineRule="auto"/>
    </w:pPr>
    <w:rPr>
      <w:rFonts w:ascii="Arial" w:hAnsi="Arial"/>
      <w:sz w:val="24"/>
    </w:rPr>
  </w:style>
  <w:style w:type="character" w:styleId="CommentReference">
    <w:name w:val="annotation reference"/>
    <w:basedOn w:val="DefaultParagraphFont"/>
    <w:uiPriority w:val="99"/>
    <w:semiHidden/>
    <w:unhideWhenUsed/>
    <w:rsid w:val="0067193F"/>
    <w:rPr>
      <w:sz w:val="16"/>
      <w:szCs w:val="16"/>
    </w:rPr>
  </w:style>
  <w:style w:type="paragraph" w:styleId="CommentText">
    <w:name w:val="annotation text"/>
    <w:basedOn w:val="Normal"/>
    <w:link w:val="CommentTextChar"/>
    <w:uiPriority w:val="99"/>
    <w:semiHidden/>
    <w:unhideWhenUsed/>
    <w:rsid w:val="0067193F"/>
    <w:pPr>
      <w:spacing w:line="240" w:lineRule="auto"/>
    </w:pPr>
    <w:rPr>
      <w:sz w:val="20"/>
      <w:szCs w:val="20"/>
    </w:rPr>
  </w:style>
  <w:style w:type="character" w:customStyle="1" w:styleId="CommentTextChar">
    <w:name w:val="Comment Text Char"/>
    <w:basedOn w:val="DefaultParagraphFont"/>
    <w:link w:val="CommentText"/>
    <w:uiPriority w:val="99"/>
    <w:semiHidden/>
    <w:rsid w:val="0067193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7193F"/>
    <w:rPr>
      <w:b/>
      <w:bCs/>
    </w:rPr>
  </w:style>
  <w:style w:type="character" w:customStyle="1" w:styleId="CommentSubjectChar">
    <w:name w:val="Comment Subject Char"/>
    <w:basedOn w:val="CommentTextChar"/>
    <w:link w:val="CommentSubject"/>
    <w:uiPriority w:val="99"/>
    <w:semiHidden/>
    <w:rsid w:val="0067193F"/>
    <w:rPr>
      <w:rFonts w:ascii="Arial" w:hAnsi="Arial"/>
      <w:b/>
      <w:bCs/>
      <w:sz w:val="20"/>
      <w:szCs w:val="20"/>
    </w:rPr>
  </w:style>
  <w:style w:type="paragraph" w:styleId="Header">
    <w:name w:val="header"/>
    <w:basedOn w:val="Normal"/>
    <w:link w:val="HeaderChar"/>
    <w:uiPriority w:val="99"/>
    <w:semiHidden/>
    <w:unhideWhenUsed/>
    <w:rsid w:val="00117F4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17F45"/>
    <w:rPr>
      <w:rFonts w:ascii="Arial" w:hAnsi="Arial"/>
      <w:sz w:val="24"/>
    </w:rPr>
  </w:style>
  <w:style w:type="paragraph" w:styleId="Footer">
    <w:name w:val="footer"/>
    <w:basedOn w:val="Normal"/>
    <w:link w:val="FooterChar"/>
    <w:uiPriority w:val="99"/>
    <w:semiHidden/>
    <w:unhideWhenUsed/>
    <w:rsid w:val="00117F4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17F45"/>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83967">
      <w:bodyDiv w:val="1"/>
      <w:marLeft w:val="0"/>
      <w:marRight w:val="0"/>
      <w:marTop w:val="0"/>
      <w:marBottom w:val="0"/>
      <w:divBdr>
        <w:top w:val="none" w:sz="0" w:space="0" w:color="auto"/>
        <w:left w:val="none" w:sz="0" w:space="0" w:color="auto"/>
        <w:bottom w:val="none" w:sz="0" w:space="0" w:color="auto"/>
        <w:right w:val="none" w:sz="0" w:space="0" w:color="auto"/>
      </w:divBdr>
    </w:div>
    <w:div w:id="200635999">
      <w:bodyDiv w:val="1"/>
      <w:marLeft w:val="0"/>
      <w:marRight w:val="0"/>
      <w:marTop w:val="0"/>
      <w:marBottom w:val="0"/>
      <w:divBdr>
        <w:top w:val="none" w:sz="0" w:space="0" w:color="auto"/>
        <w:left w:val="none" w:sz="0" w:space="0" w:color="auto"/>
        <w:bottom w:val="none" w:sz="0" w:space="0" w:color="auto"/>
        <w:right w:val="none" w:sz="0" w:space="0" w:color="auto"/>
      </w:divBdr>
    </w:div>
    <w:div w:id="394595947">
      <w:bodyDiv w:val="1"/>
      <w:marLeft w:val="0"/>
      <w:marRight w:val="0"/>
      <w:marTop w:val="0"/>
      <w:marBottom w:val="0"/>
      <w:divBdr>
        <w:top w:val="none" w:sz="0" w:space="0" w:color="auto"/>
        <w:left w:val="none" w:sz="0" w:space="0" w:color="auto"/>
        <w:bottom w:val="none" w:sz="0" w:space="0" w:color="auto"/>
        <w:right w:val="none" w:sz="0" w:space="0" w:color="auto"/>
      </w:divBdr>
    </w:div>
    <w:div w:id="425083122">
      <w:bodyDiv w:val="1"/>
      <w:marLeft w:val="0"/>
      <w:marRight w:val="0"/>
      <w:marTop w:val="0"/>
      <w:marBottom w:val="0"/>
      <w:divBdr>
        <w:top w:val="none" w:sz="0" w:space="0" w:color="auto"/>
        <w:left w:val="none" w:sz="0" w:space="0" w:color="auto"/>
        <w:bottom w:val="none" w:sz="0" w:space="0" w:color="auto"/>
        <w:right w:val="none" w:sz="0" w:space="0" w:color="auto"/>
      </w:divBdr>
    </w:div>
    <w:div w:id="654069383">
      <w:bodyDiv w:val="1"/>
      <w:marLeft w:val="0"/>
      <w:marRight w:val="0"/>
      <w:marTop w:val="0"/>
      <w:marBottom w:val="0"/>
      <w:divBdr>
        <w:top w:val="none" w:sz="0" w:space="0" w:color="auto"/>
        <w:left w:val="none" w:sz="0" w:space="0" w:color="auto"/>
        <w:bottom w:val="none" w:sz="0" w:space="0" w:color="auto"/>
        <w:right w:val="none" w:sz="0" w:space="0" w:color="auto"/>
      </w:divBdr>
    </w:div>
    <w:div w:id="867983976">
      <w:bodyDiv w:val="1"/>
      <w:marLeft w:val="0"/>
      <w:marRight w:val="0"/>
      <w:marTop w:val="0"/>
      <w:marBottom w:val="0"/>
      <w:divBdr>
        <w:top w:val="none" w:sz="0" w:space="0" w:color="auto"/>
        <w:left w:val="none" w:sz="0" w:space="0" w:color="auto"/>
        <w:bottom w:val="none" w:sz="0" w:space="0" w:color="auto"/>
        <w:right w:val="none" w:sz="0" w:space="0" w:color="auto"/>
      </w:divBdr>
    </w:div>
    <w:div w:id="893469208">
      <w:bodyDiv w:val="1"/>
      <w:marLeft w:val="0"/>
      <w:marRight w:val="0"/>
      <w:marTop w:val="0"/>
      <w:marBottom w:val="0"/>
      <w:divBdr>
        <w:top w:val="none" w:sz="0" w:space="0" w:color="auto"/>
        <w:left w:val="none" w:sz="0" w:space="0" w:color="auto"/>
        <w:bottom w:val="none" w:sz="0" w:space="0" w:color="auto"/>
        <w:right w:val="none" w:sz="0" w:space="0" w:color="auto"/>
      </w:divBdr>
    </w:div>
    <w:div w:id="995256233">
      <w:bodyDiv w:val="1"/>
      <w:marLeft w:val="0"/>
      <w:marRight w:val="0"/>
      <w:marTop w:val="0"/>
      <w:marBottom w:val="0"/>
      <w:divBdr>
        <w:top w:val="none" w:sz="0" w:space="0" w:color="auto"/>
        <w:left w:val="none" w:sz="0" w:space="0" w:color="auto"/>
        <w:bottom w:val="none" w:sz="0" w:space="0" w:color="auto"/>
        <w:right w:val="none" w:sz="0" w:space="0" w:color="auto"/>
      </w:divBdr>
    </w:div>
    <w:div w:id="1245527482">
      <w:bodyDiv w:val="1"/>
      <w:marLeft w:val="0"/>
      <w:marRight w:val="0"/>
      <w:marTop w:val="0"/>
      <w:marBottom w:val="0"/>
      <w:divBdr>
        <w:top w:val="none" w:sz="0" w:space="0" w:color="auto"/>
        <w:left w:val="none" w:sz="0" w:space="0" w:color="auto"/>
        <w:bottom w:val="none" w:sz="0" w:space="0" w:color="auto"/>
        <w:right w:val="none" w:sz="0" w:space="0" w:color="auto"/>
      </w:divBdr>
    </w:div>
    <w:div w:id="1262762313">
      <w:bodyDiv w:val="1"/>
      <w:marLeft w:val="0"/>
      <w:marRight w:val="0"/>
      <w:marTop w:val="0"/>
      <w:marBottom w:val="0"/>
      <w:divBdr>
        <w:top w:val="none" w:sz="0" w:space="0" w:color="auto"/>
        <w:left w:val="none" w:sz="0" w:space="0" w:color="auto"/>
        <w:bottom w:val="none" w:sz="0" w:space="0" w:color="auto"/>
        <w:right w:val="none" w:sz="0" w:space="0" w:color="auto"/>
      </w:divBdr>
    </w:div>
    <w:div w:id="1266301473">
      <w:bodyDiv w:val="1"/>
      <w:marLeft w:val="0"/>
      <w:marRight w:val="0"/>
      <w:marTop w:val="0"/>
      <w:marBottom w:val="0"/>
      <w:divBdr>
        <w:top w:val="none" w:sz="0" w:space="0" w:color="auto"/>
        <w:left w:val="none" w:sz="0" w:space="0" w:color="auto"/>
        <w:bottom w:val="none" w:sz="0" w:space="0" w:color="auto"/>
        <w:right w:val="none" w:sz="0" w:space="0" w:color="auto"/>
      </w:divBdr>
    </w:div>
    <w:div w:id="1310018865">
      <w:bodyDiv w:val="1"/>
      <w:marLeft w:val="0"/>
      <w:marRight w:val="0"/>
      <w:marTop w:val="0"/>
      <w:marBottom w:val="0"/>
      <w:divBdr>
        <w:top w:val="none" w:sz="0" w:space="0" w:color="auto"/>
        <w:left w:val="none" w:sz="0" w:space="0" w:color="auto"/>
        <w:bottom w:val="none" w:sz="0" w:space="0" w:color="auto"/>
        <w:right w:val="none" w:sz="0" w:space="0" w:color="auto"/>
      </w:divBdr>
    </w:div>
    <w:div w:id="1368068597">
      <w:bodyDiv w:val="1"/>
      <w:marLeft w:val="0"/>
      <w:marRight w:val="0"/>
      <w:marTop w:val="0"/>
      <w:marBottom w:val="0"/>
      <w:divBdr>
        <w:top w:val="none" w:sz="0" w:space="0" w:color="auto"/>
        <w:left w:val="none" w:sz="0" w:space="0" w:color="auto"/>
        <w:bottom w:val="none" w:sz="0" w:space="0" w:color="auto"/>
        <w:right w:val="none" w:sz="0" w:space="0" w:color="auto"/>
      </w:divBdr>
    </w:div>
    <w:div w:id="1431464602">
      <w:bodyDiv w:val="1"/>
      <w:marLeft w:val="0"/>
      <w:marRight w:val="0"/>
      <w:marTop w:val="0"/>
      <w:marBottom w:val="0"/>
      <w:divBdr>
        <w:top w:val="none" w:sz="0" w:space="0" w:color="auto"/>
        <w:left w:val="none" w:sz="0" w:space="0" w:color="auto"/>
        <w:bottom w:val="none" w:sz="0" w:space="0" w:color="auto"/>
        <w:right w:val="none" w:sz="0" w:space="0" w:color="auto"/>
      </w:divBdr>
    </w:div>
    <w:div w:id="1507666604">
      <w:bodyDiv w:val="1"/>
      <w:marLeft w:val="0"/>
      <w:marRight w:val="0"/>
      <w:marTop w:val="0"/>
      <w:marBottom w:val="0"/>
      <w:divBdr>
        <w:top w:val="none" w:sz="0" w:space="0" w:color="auto"/>
        <w:left w:val="none" w:sz="0" w:space="0" w:color="auto"/>
        <w:bottom w:val="none" w:sz="0" w:space="0" w:color="auto"/>
        <w:right w:val="none" w:sz="0" w:space="0" w:color="auto"/>
      </w:divBdr>
    </w:div>
    <w:div w:id="1604846450">
      <w:bodyDiv w:val="1"/>
      <w:marLeft w:val="0"/>
      <w:marRight w:val="0"/>
      <w:marTop w:val="0"/>
      <w:marBottom w:val="0"/>
      <w:divBdr>
        <w:top w:val="none" w:sz="0" w:space="0" w:color="auto"/>
        <w:left w:val="none" w:sz="0" w:space="0" w:color="auto"/>
        <w:bottom w:val="none" w:sz="0" w:space="0" w:color="auto"/>
        <w:right w:val="none" w:sz="0" w:space="0" w:color="auto"/>
      </w:divBdr>
    </w:div>
    <w:div w:id="1650132511">
      <w:bodyDiv w:val="1"/>
      <w:marLeft w:val="0"/>
      <w:marRight w:val="0"/>
      <w:marTop w:val="0"/>
      <w:marBottom w:val="0"/>
      <w:divBdr>
        <w:top w:val="none" w:sz="0" w:space="0" w:color="auto"/>
        <w:left w:val="none" w:sz="0" w:space="0" w:color="auto"/>
        <w:bottom w:val="none" w:sz="0" w:space="0" w:color="auto"/>
        <w:right w:val="none" w:sz="0" w:space="0" w:color="auto"/>
      </w:divBdr>
    </w:div>
    <w:div w:id="1675453488">
      <w:bodyDiv w:val="1"/>
      <w:marLeft w:val="0"/>
      <w:marRight w:val="0"/>
      <w:marTop w:val="0"/>
      <w:marBottom w:val="0"/>
      <w:divBdr>
        <w:top w:val="none" w:sz="0" w:space="0" w:color="auto"/>
        <w:left w:val="none" w:sz="0" w:space="0" w:color="auto"/>
        <w:bottom w:val="none" w:sz="0" w:space="0" w:color="auto"/>
        <w:right w:val="none" w:sz="0" w:space="0" w:color="auto"/>
      </w:divBdr>
    </w:div>
    <w:div w:id="1839925937">
      <w:bodyDiv w:val="1"/>
      <w:marLeft w:val="0"/>
      <w:marRight w:val="0"/>
      <w:marTop w:val="0"/>
      <w:marBottom w:val="0"/>
      <w:divBdr>
        <w:top w:val="none" w:sz="0" w:space="0" w:color="auto"/>
        <w:left w:val="none" w:sz="0" w:space="0" w:color="auto"/>
        <w:bottom w:val="none" w:sz="0" w:space="0" w:color="auto"/>
        <w:right w:val="none" w:sz="0" w:space="0" w:color="auto"/>
      </w:divBdr>
    </w:div>
    <w:div w:id="1883519253">
      <w:bodyDiv w:val="1"/>
      <w:marLeft w:val="0"/>
      <w:marRight w:val="0"/>
      <w:marTop w:val="0"/>
      <w:marBottom w:val="0"/>
      <w:divBdr>
        <w:top w:val="none" w:sz="0" w:space="0" w:color="auto"/>
        <w:left w:val="none" w:sz="0" w:space="0" w:color="auto"/>
        <w:bottom w:val="none" w:sz="0" w:space="0" w:color="auto"/>
        <w:right w:val="none" w:sz="0" w:space="0" w:color="auto"/>
      </w:divBdr>
    </w:div>
    <w:div w:id="1898782479">
      <w:bodyDiv w:val="1"/>
      <w:marLeft w:val="0"/>
      <w:marRight w:val="0"/>
      <w:marTop w:val="0"/>
      <w:marBottom w:val="0"/>
      <w:divBdr>
        <w:top w:val="none" w:sz="0" w:space="0" w:color="auto"/>
        <w:left w:val="none" w:sz="0" w:space="0" w:color="auto"/>
        <w:bottom w:val="none" w:sz="0" w:space="0" w:color="auto"/>
        <w:right w:val="none" w:sz="0" w:space="0" w:color="auto"/>
      </w:divBdr>
    </w:div>
    <w:div w:id="2008314943">
      <w:bodyDiv w:val="1"/>
      <w:marLeft w:val="0"/>
      <w:marRight w:val="0"/>
      <w:marTop w:val="0"/>
      <w:marBottom w:val="0"/>
      <w:divBdr>
        <w:top w:val="none" w:sz="0" w:space="0" w:color="auto"/>
        <w:left w:val="none" w:sz="0" w:space="0" w:color="auto"/>
        <w:bottom w:val="none" w:sz="0" w:space="0" w:color="auto"/>
        <w:right w:val="none" w:sz="0" w:space="0" w:color="auto"/>
      </w:divBdr>
    </w:div>
    <w:div w:id="2142729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9C4370-182F-455D-B9AF-0C989DBB3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11</Pages>
  <Words>3448</Words>
  <Characters>19657</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23059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Graham</dc:creator>
  <cp:lastModifiedBy>Gorman, Dave</cp:lastModifiedBy>
  <cp:revision>5</cp:revision>
  <cp:lastPrinted>2014-01-16T10:09:00Z</cp:lastPrinted>
  <dcterms:created xsi:type="dcterms:W3CDTF">2014-01-21T10:02:00Z</dcterms:created>
  <dcterms:modified xsi:type="dcterms:W3CDTF">2014-01-24T11:40:00Z</dcterms:modified>
</cp:coreProperties>
</file>